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14BD9" w14:textId="77777777" w:rsidR="00C51609" w:rsidRPr="00C51609" w:rsidRDefault="00C70B79">
      <w:r>
        <w:rPr>
          <w:noProof/>
        </w:rPr>
        <w:drawing>
          <wp:anchor distT="0" distB="0" distL="114300" distR="114300" simplePos="0" relativeHeight="251658240" behindDoc="0" locked="0" layoutInCell="1" allowOverlap="1" wp14:anchorId="5792BABA" wp14:editId="33124B1C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4500000" cy="1620000"/>
            <wp:effectExtent l="1905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1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C17A516" w14:textId="77777777" w:rsidR="00D90CC9" w:rsidRPr="00D91045" w:rsidRDefault="00D91045" w:rsidP="00D91045">
      <w:pPr>
        <w:spacing w:after="3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B75D8">
        <w:rPr>
          <w:rFonts w:ascii="Times New Roman" w:eastAsia="Times New Roman" w:hAnsi="Times New Roman" w:cs="Times New Roman"/>
          <w:sz w:val="28"/>
          <w:szCs w:val="28"/>
        </w:rPr>
        <w:t xml:space="preserve">Зауваження та пропозиції до </w:t>
      </w:r>
      <w:proofErr w:type="spellStart"/>
      <w:r w:rsidRPr="002B75D8">
        <w:rPr>
          <w:rFonts w:ascii="Times New Roman" w:eastAsia="Times New Roman" w:hAnsi="Times New Roman" w:cs="Times New Roman"/>
          <w:sz w:val="28"/>
          <w:szCs w:val="28"/>
        </w:rPr>
        <w:t>проєкту</w:t>
      </w:r>
      <w:proofErr w:type="spellEnd"/>
      <w:r w:rsidRPr="002B75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26B72" w:rsidRPr="00D91045">
        <w:rPr>
          <w:rFonts w:ascii="Times New Roman" w:eastAsia="Times New Roman" w:hAnsi="Times New Roman" w:cs="Times New Roman"/>
          <w:sz w:val="28"/>
          <w:szCs w:val="28"/>
        </w:rPr>
        <w:t xml:space="preserve">рішення НКРЕКП, що має ознаки регуляторного </w:t>
      </w:r>
      <w:proofErr w:type="spellStart"/>
      <w:r w:rsidR="00C26B72" w:rsidRPr="00D91045"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  <w:r w:rsidR="00C26B72" w:rsidRPr="00D91045">
        <w:rPr>
          <w:rFonts w:ascii="Times New Roman" w:eastAsia="Times New Roman" w:hAnsi="Times New Roman" w:cs="Times New Roman"/>
          <w:sz w:val="28"/>
          <w:szCs w:val="28"/>
        </w:rPr>
        <w:t xml:space="preserve">, – </w:t>
      </w:r>
      <w:r w:rsidR="003B7DD3" w:rsidRPr="00D91045">
        <w:rPr>
          <w:rFonts w:ascii="Times New Roman" w:eastAsia="Times New Roman" w:hAnsi="Times New Roman" w:cs="Times New Roman"/>
          <w:sz w:val="28"/>
          <w:szCs w:val="28"/>
        </w:rPr>
        <w:t>постанови НКРЕКП  «Про затвердження Змін до деяких постанов НКРЕКП</w:t>
      </w:r>
    </w:p>
    <w:tbl>
      <w:tblPr>
        <w:tblStyle w:val="a5"/>
        <w:tblW w:w="14544" w:type="dxa"/>
        <w:tblInd w:w="-714" w:type="dxa"/>
        <w:tblLook w:val="04A0" w:firstRow="1" w:lastRow="0" w:firstColumn="1" w:lastColumn="0" w:noHBand="0" w:noVBand="1"/>
      </w:tblPr>
      <w:tblGrid>
        <w:gridCol w:w="5032"/>
        <w:gridCol w:w="5033"/>
        <w:gridCol w:w="4479"/>
      </w:tblGrid>
      <w:tr w:rsidR="00E26CC4" w:rsidRPr="00E26CC4" w14:paraId="0BBF85A7" w14:textId="77777777" w:rsidTr="00C6791E">
        <w:trPr>
          <w:trHeight w:val="283"/>
        </w:trPr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5345B" w14:textId="77777777" w:rsidR="00C6791E" w:rsidRPr="00E26CC4" w:rsidRDefault="00C6791E" w:rsidP="00D91045">
            <w:pPr>
              <w:pStyle w:val="ae"/>
              <w:suppressLineNumbers/>
              <w:suppressAutoHyphens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eading=h.gjdgxs" w:colFirst="0" w:colLast="0"/>
            <w:bookmarkEnd w:id="0"/>
            <w:r w:rsidRPr="00E26CC4">
              <w:rPr>
                <w:rFonts w:ascii="Times New Roman" w:eastAsia="Times New Roman" w:hAnsi="Times New Roman" w:cs="Times New Roman"/>
                <w:sz w:val="24"/>
                <w:szCs w:val="24"/>
              </w:rPr>
              <w:t>Редакція проекту рішення НКРЕКП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4819" w14:textId="77777777" w:rsidR="00C6791E" w:rsidRPr="00E26CC4" w:rsidRDefault="00C6791E" w:rsidP="00D91045">
            <w:pPr>
              <w:pStyle w:val="ae"/>
              <w:suppressLineNumbers/>
              <w:suppressAutoHyphens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26CC4">
              <w:rPr>
                <w:rFonts w:ascii="Times New Roman" w:eastAsia="Times New Roman" w:hAnsi="Times New Roman" w:cs="Times New Roman"/>
                <w:sz w:val="24"/>
                <w:szCs w:val="24"/>
              </w:rPr>
              <w:t>Зауваження та пропозиції  до проекту рішення НКРЕКП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B408" w14:textId="77777777" w:rsidR="00C6791E" w:rsidRPr="00E26CC4" w:rsidRDefault="00C6791E" w:rsidP="00D91045">
            <w:pPr>
              <w:pStyle w:val="ae"/>
              <w:suppressLineNumbers/>
              <w:suppressAutoHyphens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26CC4">
              <w:rPr>
                <w:rFonts w:ascii="Times New Roman" w:eastAsia="Times New Roman" w:hAnsi="Times New Roman" w:cs="Times New Roman"/>
                <w:sz w:val="24"/>
                <w:szCs w:val="24"/>
              </w:rPr>
              <w:t>Обґрунтування</w:t>
            </w:r>
          </w:p>
        </w:tc>
      </w:tr>
      <w:tr w:rsidR="00E26CC4" w:rsidRPr="00E26CC4" w14:paraId="6D9F7D55" w14:textId="77777777" w:rsidTr="00BB3CA5">
        <w:trPr>
          <w:trHeight w:val="424"/>
        </w:trPr>
        <w:tc>
          <w:tcPr>
            <w:tcW w:w="14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1CFA" w14:textId="77777777" w:rsidR="00BB3CA5" w:rsidRPr="00E26CC4" w:rsidRDefault="00BB3CA5" w:rsidP="00BB3CA5">
            <w:pPr>
              <w:pStyle w:val="ae"/>
              <w:suppressLineNumbers/>
              <w:suppressAutoHyphens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CC4">
              <w:rPr>
                <w:rFonts w:ascii="Times New Roman" w:hAnsi="Times New Roman" w:cs="Times New Roman"/>
                <w:i/>
                <w:sz w:val="24"/>
                <w:szCs w:val="24"/>
              </w:rPr>
              <w:t>Постанова «Про затвердження Змін до деяких постанов НКРЕКП»</w:t>
            </w:r>
          </w:p>
        </w:tc>
      </w:tr>
      <w:tr w:rsidR="00E26CC4" w:rsidRPr="00E26CC4" w14:paraId="60F0E57B" w14:textId="77777777" w:rsidTr="00C6791E">
        <w:trPr>
          <w:trHeight w:val="283"/>
        </w:trPr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0FE8" w14:textId="77777777" w:rsidR="00C6791E" w:rsidRPr="00E26CC4" w:rsidRDefault="00C6791E" w:rsidP="00D91045">
            <w:pPr>
              <w:pStyle w:val="ae"/>
              <w:suppressLineNumbers/>
              <w:suppressAutoHyphens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6CC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26CC4">
              <w:rPr>
                <w:rFonts w:ascii="Times New Roman" w:hAnsi="Times New Roman" w:cs="Times New Roman"/>
                <w:sz w:val="24"/>
                <w:szCs w:val="24"/>
              </w:rPr>
              <w:tab/>
              <w:t>Затвердити Зміни до деяких постанов Національної комісії, що здійснює державне регулювання у сферах енергетики та комунальних послуг, що додаються.</w:t>
            </w:r>
          </w:p>
          <w:p w14:paraId="56A6EBA8" w14:textId="77777777" w:rsidR="00C6791E" w:rsidRPr="00E26CC4" w:rsidRDefault="00C6791E" w:rsidP="00D91045">
            <w:pPr>
              <w:pStyle w:val="ae"/>
              <w:suppressLineNumbers/>
              <w:suppressAutoHyphens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B6498" w14:textId="77777777" w:rsidR="00C6791E" w:rsidRPr="00E26CC4" w:rsidRDefault="00C6791E" w:rsidP="00D91045">
            <w:pPr>
              <w:pStyle w:val="ae"/>
              <w:suppressLineNumbers/>
              <w:suppressAutoHyphens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6CC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26CC4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Ця постанова набирає чинності з дня, наступного за днем її оприлюднення на офіційному </w:t>
            </w:r>
            <w:proofErr w:type="spellStart"/>
            <w:r w:rsidRPr="00E26CC4">
              <w:rPr>
                <w:rFonts w:ascii="Times New Roman" w:hAnsi="Times New Roman" w:cs="Times New Roman"/>
                <w:sz w:val="24"/>
                <w:szCs w:val="24"/>
              </w:rPr>
              <w:t>вебсайті</w:t>
            </w:r>
            <w:proofErr w:type="spellEnd"/>
            <w:r w:rsidRPr="00E26CC4">
              <w:rPr>
                <w:rFonts w:ascii="Times New Roman" w:hAnsi="Times New Roman" w:cs="Times New Roman"/>
                <w:sz w:val="24"/>
                <w:szCs w:val="24"/>
              </w:rPr>
              <w:t xml:space="preserve"> Національної комісії, що здійснює державне регулювання у сферах енергетики та комунальних послуг.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3F0FE2" w14:textId="77777777" w:rsidR="00C6791E" w:rsidRPr="00E26CC4" w:rsidRDefault="00C6791E" w:rsidP="00D91045">
            <w:pPr>
              <w:pStyle w:val="ae"/>
              <w:suppressLineNumbers/>
              <w:suppressAutoHyphens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6CC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26CC4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Затвердити Зміни до деяких постанов Національної комісії, що здійснює державне регулювання у сферах енергетики та комунальних послуг, що додаються </w:t>
            </w:r>
            <w:r w:rsidRPr="00E26C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(далі – Зміни)</w:t>
            </w:r>
            <w:r w:rsidRPr="00E26CC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C5123D3" w14:textId="77777777" w:rsidR="00C6791E" w:rsidRPr="00E26CC4" w:rsidRDefault="00C6791E" w:rsidP="00D91045">
            <w:pPr>
              <w:pStyle w:val="ae"/>
              <w:suppressLineNumbers/>
              <w:suppressAutoHyphens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26CC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26CC4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Ця постанова набирає чинності з дня, наступного за днем її оприлюднення на офіційному </w:t>
            </w:r>
            <w:proofErr w:type="spellStart"/>
            <w:r w:rsidRPr="00E26CC4">
              <w:rPr>
                <w:rFonts w:ascii="Times New Roman" w:hAnsi="Times New Roman" w:cs="Times New Roman"/>
                <w:sz w:val="24"/>
                <w:szCs w:val="24"/>
              </w:rPr>
              <w:t>вебсайті</w:t>
            </w:r>
            <w:proofErr w:type="spellEnd"/>
            <w:r w:rsidRPr="00E26CC4">
              <w:rPr>
                <w:rFonts w:ascii="Times New Roman" w:hAnsi="Times New Roman" w:cs="Times New Roman"/>
                <w:sz w:val="24"/>
                <w:szCs w:val="24"/>
              </w:rPr>
              <w:t xml:space="preserve"> Національної комісії, що здійснює державне регулювання у сферах енергетики та комунальних послуг</w:t>
            </w:r>
            <w:r w:rsidRPr="00E26C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крім положень підпункту третього пункту 3 Змін, які набирають чинності з 01.02.2026</w:t>
            </w:r>
            <w:r w:rsidR="004237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D81D82" w14:textId="77777777" w:rsidR="00C6791E" w:rsidRPr="00E26CC4" w:rsidRDefault="00C6791E" w:rsidP="00D91045">
            <w:pPr>
              <w:pStyle w:val="ae"/>
              <w:suppressLineNumbers/>
              <w:suppressAutoHyphens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6CC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Запровадження нових механізмів розрахунків на РДН та ВДР потребує доопрацювання програмного забезпечення оператора ринку, яке </w:t>
            </w:r>
            <w:r w:rsidR="0042379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потребує певного часу</w:t>
            </w:r>
            <w:r w:rsidRPr="0042379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  <w:tr w:rsidR="00E26CC4" w:rsidRPr="00E26CC4" w14:paraId="6FCF6865" w14:textId="77777777" w:rsidTr="00BB3CA5">
        <w:trPr>
          <w:trHeight w:val="382"/>
        </w:trPr>
        <w:tc>
          <w:tcPr>
            <w:tcW w:w="14544" w:type="dxa"/>
            <w:gridSpan w:val="3"/>
          </w:tcPr>
          <w:p w14:paraId="14A0970C" w14:textId="77777777" w:rsidR="00BB3CA5" w:rsidRPr="00E26CC4" w:rsidRDefault="00BB3CA5" w:rsidP="00BB3CA5">
            <w:pPr>
              <w:pStyle w:val="a6"/>
              <w:widowControl w:val="0"/>
              <w:spacing w:before="0" w:beforeAutospacing="0" w:after="0" w:afterAutospacing="0"/>
              <w:jc w:val="center"/>
            </w:pPr>
            <w:r w:rsidRPr="00E26CC4">
              <w:rPr>
                <w:i/>
              </w:rPr>
              <w:t>Правила ринку</w:t>
            </w:r>
            <w:r w:rsidRPr="00E26CC4">
              <w:rPr>
                <w:i/>
                <w:lang w:val="ru-RU"/>
              </w:rPr>
              <w:t xml:space="preserve"> «на добу наперед» та </w:t>
            </w:r>
            <w:proofErr w:type="spellStart"/>
            <w:r w:rsidRPr="00E26CC4">
              <w:rPr>
                <w:i/>
                <w:lang w:val="ru-RU"/>
              </w:rPr>
              <w:t>внутрішньодобового</w:t>
            </w:r>
            <w:proofErr w:type="spellEnd"/>
            <w:r w:rsidRPr="00E26CC4">
              <w:rPr>
                <w:i/>
                <w:lang w:val="ru-RU"/>
              </w:rPr>
              <w:t xml:space="preserve"> ринку</w:t>
            </w:r>
            <w:r w:rsidRPr="00E26CC4">
              <w:rPr>
                <w:i/>
              </w:rPr>
              <w:t>, затверджені постановою НКРЕКП від 14.03.2018 року № 308</w:t>
            </w:r>
          </w:p>
        </w:tc>
      </w:tr>
      <w:tr w:rsidR="008F487B" w:rsidRPr="00E26CC4" w14:paraId="2E829F4C" w14:textId="77777777" w:rsidTr="00C6791E">
        <w:trPr>
          <w:trHeight w:val="283"/>
        </w:trPr>
        <w:tc>
          <w:tcPr>
            <w:tcW w:w="5032" w:type="dxa"/>
          </w:tcPr>
          <w:p w14:paraId="02E4DE03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2.2.3. Порядок перерахування коштів з рахунку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 учасника РДН/ВДР визначається у договорі рахунку умовного зберігання (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) та повинен передбачати, що перерахування коштів з рахунку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 учасника РДН/ВДР здійснюється лише на вимогу або з дозволу ОР.</w:t>
            </w:r>
          </w:p>
          <w:p w14:paraId="2125BB2F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 випадку неможливості здійснення оплати з поточних рахунків учасника РДН/ВДР, він може звернутися до ОР із заявою у довільній </w:t>
            </w:r>
            <w:r>
              <w:rPr>
                <w:lang w:eastAsia="en-US"/>
              </w:rPr>
              <w:lastRenderedPageBreak/>
              <w:t xml:space="preserve">формі щодо перерахування необхідної суми коштів (у межах вільних від зобов’язань коштів) із свого рахунку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 на поточний рахунок ОР у рахунок сплати фіксованого платежу за користування програмним забезпеченням ОР.</w:t>
            </w:r>
          </w:p>
          <w:p w14:paraId="3F8AC65B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Для повернення коштів з рахунку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 учасник РДН/ВДР повинен звернутися до ОР із заявою у довільній формі щодо повернення вільних від зобов’язань коштів з його рахунку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 на  поточний рахунок такого учасника РДН/ВДР.</w:t>
            </w:r>
          </w:p>
          <w:p w14:paraId="49E85817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 разі отримання заяви від учасника РДН/ВДР щодо повернення йому/перерахування в рахунок сплати фіксованого платежу за користування програмним забезпеченням ОР вільних від зобов’язань коштів з його рахунку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 ОР повинен у день отримання відповідної заяви або наступного банківського дня надати банку, у якому таким учасником РДН/ВДР відкрито рахунок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, дозвіл (доручення) на перерахування відповідної суми (у межах вільних від зобов’язань коштів) з рахунку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 на поточний рахунок такого учасника РДН/ВДР/поточний рахунок ОР відповідно.</w:t>
            </w:r>
          </w:p>
        </w:tc>
        <w:tc>
          <w:tcPr>
            <w:tcW w:w="5033" w:type="dxa"/>
          </w:tcPr>
          <w:p w14:paraId="71884BAF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2.2.3. Порядок перерахування коштів з рахунку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 учасника РДН/ВДР визначається у договорі рахунку умовного зберігання (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) та повинен передбачати, що перерахування коштів з рахунку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 учасника РДН/ВДР здійснюється лише на вимогу або з дозволу ОР.</w:t>
            </w:r>
          </w:p>
          <w:p w14:paraId="14CC76E8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 випадку неможливості здійснення оплати з поточних рахунків учасника РДН/ВДР, він може звернутися до ОР із заявою у довільній </w:t>
            </w:r>
            <w:r>
              <w:rPr>
                <w:lang w:eastAsia="en-US"/>
              </w:rPr>
              <w:lastRenderedPageBreak/>
              <w:t xml:space="preserve">формі щодо перерахування необхідної суми коштів (у межах вільних від зобов’язань коштів) із свого рахунку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 на поточний рахунок ОР у рахунок сплати фіксованого платежу за користування програмним забезпеченням ОР.</w:t>
            </w:r>
          </w:p>
          <w:p w14:paraId="02FA5F5A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Для повернення коштів з рахунку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 учасник РДН/ВДР повинен звернутися до ОР із заявою у довільній формі щодо повернення вільних від зобов’язань коштів з його рахунку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 на  поточний рахунок такого учасника РДН/ВДР.</w:t>
            </w:r>
          </w:p>
          <w:p w14:paraId="5A28B498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 разі отримання заяви від учасника РДН/ВДР щодо повернення йому/перерахування в рахунок сплати фіксованого платежу за користування програмним забезпеченням ОР вільних від зобов’язань коштів з його рахунку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 ОР повинен у день отримання відповідної заяви або наступного </w:t>
            </w:r>
            <w:r w:rsidRPr="008F487B">
              <w:rPr>
                <w:b/>
                <w:bCs/>
                <w:lang w:eastAsia="en-US"/>
              </w:rPr>
              <w:t>робочого</w:t>
            </w:r>
            <w:r>
              <w:rPr>
                <w:lang w:eastAsia="en-US"/>
              </w:rPr>
              <w:t xml:space="preserve"> дня надати банку, у якому таким учасником РДН/ВДР відкрито рахунок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, дозвіл (доручення) на перерахування відповідної суми (у межах вільних від зобов’язань коштів) з рахунку </w:t>
            </w:r>
            <w:proofErr w:type="spellStart"/>
            <w:r>
              <w:rPr>
                <w:lang w:eastAsia="en-US"/>
              </w:rPr>
              <w:t>ескроу</w:t>
            </w:r>
            <w:proofErr w:type="spellEnd"/>
            <w:r>
              <w:rPr>
                <w:lang w:eastAsia="en-US"/>
              </w:rPr>
              <w:t xml:space="preserve"> на поточний рахунок такого учасника РДН/ВДР/поточний рахунок ОР відповідно.</w:t>
            </w:r>
          </w:p>
        </w:tc>
        <w:tc>
          <w:tcPr>
            <w:tcW w:w="4479" w:type="dxa"/>
          </w:tcPr>
          <w:p w14:paraId="66A50E33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651EA958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6453879B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73864210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00A14A37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46A8D0C2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555D85D5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7FE41C22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6D1849CC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57D40447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7BB50AA8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6B66BA54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5F07068D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2B932791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47619F12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072054A0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7E5B44DB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0E6D7162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17A37EC4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7642E796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7FBB6325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52D773CF" w14:textId="77777777" w:rsidR="008F487B" w:rsidRPr="008F487B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Оскільки</w:t>
            </w:r>
            <w:r w:rsidRPr="008F487B">
              <w:rPr>
                <w:i/>
                <w:iCs/>
                <w:lang w:eastAsia="en-US"/>
              </w:rPr>
              <w:t xml:space="preserve"> </w:t>
            </w:r>
            <w:r>
              <w:rPr>
                <w:i/>
                <w:iCs/>
                <w:lang w:eastAsia="en-US"/>
              </w:rPr>
              <w:t>нині банки забезпечують перекази в режимі 2</w:t>
            </w:r>
            <w:r w:rsidR="007E08C0" w:rsidRPr="009F0767">
              <w:rPr>
                <w:i/>
                <w:iCs/>
                <w:lang w:val="ru-RU" w:eastAsia="en-US"/>
              </w:rPr>
              <w:t>4</w:t>
            </w:r>
            <w:r>
              <w:rPr>
                <w:i/>
                <w:iCs/>
                <w:lang w:eastAsia="en-US"/>
              </w:rPr>
              <w:t xml:space="preserve">/7, </w:t>
            </w:r>
            <w:r w:rsidRPr="008F487B">
              <w:rPr>
                <w:i/>
                <w:iCs/>
                <w:lang w:eastAsia="en-US"/>
              </w:rPr>
              <w:t>поняття «банківський день» втратило актуальність.</w:t>
            </w:r>
          </w:p>
        </w:tc>
      </w:tr>
      <w:tr w:rsidR="008F487B" w:rsidRPr="00E26CC4" w14:paraId="3A180F26" w14:textId="77777777" w:rsidTr="00C6791E">
        <w:trPr>
          <w:trHeight w:val="283"/>
        </w:trPr>
        <w:tc>
          <w:tcPr>
            <w:tcW w:w="5032" w:type="dxa"/>
            <w:hideMark/>
          </w:tcPr>
          <w:p w14:paraId="6425EAF1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lastRenderedPageBreak/>
              <w:t xml:space="preserve">3.4.1. ОР на підставі результатів торгів на РДН відповідно до глави 4.1 розділу ІV цих Правил визначає по кожному учаснику цих торгів обсяги зобов’язань з оплати купленої та </w:t>
            </w:r>
            <w:r w:rsidRPr="00E26CC4">
              <w:rPr>
                <w:lang w:eastAsia="en-US"/>
              </w:rPr>
              <w:lastRenderedPageBreak/>
              <w:t>проданої на торгах на РДН електричної енергії щодо доби постачання та зобов’язання учасників РДН/ВДР з оплати послуг ОР із здійснення операцій купівлі-продажу на РДН.</w:t>
            </w:r>
          </w:p>
          <w:p w14:paraId="1DB31291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 xml:space="preserve">Після визначення зобов’язань учасників РДН/ВДР з оплати купленої та проданої на торгах на РДН електричної енергії та зобов’язань учасників РДН/ВДР з оплати послуг ОР із здійснення операцій купівлі-продажу на РДН ОР надає банкам, у яких учасниками РДН/ВДР відкрито рахунки </w:t>
            </w:r>
            <w:proofErr w:type="spellStart"/>
            <w:r w:rsidRPr="00E26CC4">
              <w:rPr>
                <w:lang w:eastAsia="en-US"/>
              </w:rPr>
              <w:t>ескроу</w:t>
            </w:r>
            <w:proofErr w:type="spellEnd"/>
            <w:r w:rsidRPr="00E26CC4">
              <w:rPr>
                <w:lang w:eastAsia="en-US"/>
              </w:rPr>
              <w:t>, платіжні інструкції (вимоги) на перерахування сум коштів, визначених як зобов’язання відповідних учасників РДН/ВДР з оплати купленої на торгах на РДН електричної енергії, на поточний рахунок із спеціальним режимом використання ОР, та зобов’язань учасників РДН/ВДР з оплати послуг ОР із здійснення операцій купівлі-продажу на РДН – на поточний рахунок ОР.</w:t>
            </w:r>
          </w:p>
          <w:p w14:paraId="79DC178B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>Банк, що отримав від ОР платіжну інструкцію (вимогу), невідкладно здійснює відповідний переказ коштів.</w:t>
            </w:r>
          </w:p>
          <w:p w14:paraId="0B802BA8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val="ru-RU" w:eastAsia="en-US"/>
              </w:rPr>
            </w:pPr>
          </w:p>
          <w:p w14:paraId="4F177EC2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>Якщо надана ОР платіжна інструкція (вимога) не була виконана банком(-</w:t>
            </w:r>
            <w:proofErr w:type="spellStart"/>
            <w:r w:rsidRPr="00E26CC4">
              <w:rPr>
                <w:lang w:eastAsia="en-US"/>
              </w:rPr>
              <w:t>ами</w:t>
            </w:r>
            <w:proofErr w:type="spellEnd"/>
            <w:r w:rsidRPr="00E26CC4">
              <w:rPr>
                <w:lang w:eastAsia="en-US"/>
              </w:rPr>
              <w:t>) щодо певного(-</w:t>
            </w:r>
            <w:proofErr w:type="spellStart"/>
            <w:r w:rsidRPr="00E26CC4">
              <w:rPr>
                <w:lang w:eastAsia="en-US"/>
              </w:rPr>
              <w:t>их</w:t>
            </w:r>
            <w:proofErr w:type="spellEnd"/>
            <w:r w:rsidRPr="00E26CC4">
              <w:rPr>
                <w:lang w:eastAsia="en-US"/>
              </w:rPr>
              <w:t>) учасника(-</w:t>
            </w:r>
            <w:proofErr w:type="spellStart"/>
            <w:r w:rsidRPr="00E26CC4">
              <w:rPr>
                <w:lang w:eastAsia="en-US"/>
              </w:rPr>
              <w:t>ів</w:t>
            </w:r>
            <w:proofErr w:type="spellEnd"/>
            <w:r w:rsidRPr="00E26CC4">
              <w:rPr>
                <w:lang w:eastAsia="en-US"/>
              </w:rPr>
              <w:t xml:space="preserve">) </w:t>
            </w:r>
            <w:r w:rsidRPr="00E26CC4">
              <w:rPr>
                <w:shd w:val="clear" w:color="auto" w:fill="FFFFFF" w:themeFill="background1"/>
                <w:lang w:eastAsia="en-US"/>
              </w:rPr>
              <w:t>РДН/ВДР</w:t>
            </w:r>
            <w:r w:rsidRPr="00E26CC4">
              <w:rPr>
                <w:lang w:eastAsia="en-US"/>
              </w:rPr>
              <w:t>,</w:t>
            </w:r>
            <w:r w:rsidRPr="00E26CC4">
              <w:rPr>
                <w:shd w:val="clear" w:color="auto" w:fill="FFFFFF" w:themeFill="background1"/>
                <w:lang w:eastAsia="en-US"/>
              </w:rPr>
              <w:t xml:space="preserve"> О</w:t>
            </w:r>
            <w:r w:rsidRPr="00E26CC4">
              <w:rPr>
                <w:lang w:eastAsia="en-US"/>
              </w:rPr>
              <w:t xml:space="preserve">Р повторно здійснює визначення ціни на електричну енергію та обсягів купівлі-продажу електричної енергії на РДН, виключивши </w:t>
            </w:r>
            <w:r w:rsidRPr="00E26CC4">
              <w:rPr>
                <w:lang w:eastAsia="en-US"/>
              </w:rPr>
              <w:lastRenderedPageBreak/>
              <w:t>заявку(-и) на торги на РДН відповідного(-</w:t>
            </w:r>
            <w:proofErr w:type="spellStart"/>
            <w:r w:rsidRPr="00E26CC4">
              <w:rPr>
                <w:lang w:eastAsia="en-US"/>
              </w:rPr>
              <w:t>их</w:t>
            </w:r>
            <w:proofErr w:type="spellEnd"/>
            <w:r w:rsidRPr="00E26CC4">
              <w:rPr>
                <w:lang w:eastAsia="en-US"/>
              </w:rPr>
              <w:t>) учасника(-</w:t>
            </w:r>
            <w:proofErr w:type="spellStart"/>
            <w:r w:rsidRPr="00E26CC4">
              <w:rPr>
                <w:lang w:eastAsia="en-US"/>
              </w:rPr>
              <w:t>ів</w:t>
            </w:r>
            <w:proofErr w:type="spellEnd"/>
            <w:r w:rsidRPr="00E26CC4">
              <w:rPr>
                <w:lang w:eastAsia="en-US"/>
              </w:rPr>
              <w:t>) РДН/ВДР з переліку заявок, допущених на торги на РДН.</w:t>
            </w:r>
          </w:p>
          <w:p w14:paraId="5366B131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>Після цього ОР повторює дії, передбачені абзацами першим, другим та четвертим цього пункту до повного виконання банком(-</w:t>
            </w:r>
            <w:proofErr w:type="spellStart"/>
            <w:r w:rsidRPr="00E26CC4">
              <w:rPr>
                <w:lang w:eastAsia="en-US"/>
              </w:rPr>
              <w:t>ами</w:t>
            </w:r>
            <w:proofErr w:type="spellEnd"/>
            <w:r w:rsidRPr="00E26CC4">
              <w:rPr>
                <w:lang w:eastAsia="en-US"/>
              </w:rPr>
              <w:t>) платіжних інструкцій (вимог), наданих ОР.</w:t>
            </w:r>
          </w:p>
          <w:p w14:paraId="25A8810A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bookmarkStart w:id="1" w:name="_Hlk204951720"/>
            <w:r w:rsidRPr="00E26CC4">
              <w:rPr>
                <w:lang w:eastAsia="en-US"/>
              </w:rPr>
              <w:t>У разі здійснення повторного визначення ціни на РДН та обсягів купівлі-продажу електричної енергії на РДН, кошти учасників РДН/ВДР, переказані банком(-</w:t>
            </w:r>
            <w:proofErr w:type="spellStart"/>
            <w:r w:rsidRPr="00E26CC4">
              <w:rPr>
                <w:lang w:eastAsia="en-US"/>
              </w:rPr>
              <w:t>ами</w:t>
            </w:r>
            <w:proofErr w:type="spellEnd"/>
            <w:r w:rsidRPr="00E26CC4">
              <w:rPr>
                <w:lang w:eastAsia="en-US"/>
              </w:rPr>
              <w:t xml:space="preserve">) на поточний рахунок із спеціальним режимом використання ОР та поточний рахунок ОР,  повертаються на їхні рахунки </w:t>
            </w:r>
            <w:proofErr w:type="spellStart"/>
            <w:r w:rsidRPr="00E26CC4">
              <w:rPr>
                <w:lang w:eastAsia="en-US"/>
              </w:rPr>
              <w:t>ескроу</w:t>
            </w:r>
            <w:proofErr w:type="spellEnd"/>
            <w:r w:rsidRPr="00E26CC4">
              <w:rPr>
                <w:lang w:eastAsia="en-US"/>
              </w:rPr>
              <w:t xml:space="preserve"> у повному обсязі, а потім за результатами визначення остаточних обсягів зобов’язань учасників РДН/ВДР перераховуються на поточний рахунок із спеціальним режимом використання ОР та поточний рахунок ОР.</w:t>
            </w:r>
          </w:p>
          <w:p w14:paraId="4C6B271C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 xml:space="preserve">У разі забезпечення покриття зобов’язань учасника РДН/ВДР перед ОР з рахунків </w:t>
            </w:r>
            <w:proofErr w:type="spellStart"/>
            <w:r w:rsidRPr="00E26CC4">
              <w:rPr>
                <w:lang w:eastAsia="en-US"/>
              </w:rPr>
              <w:t>ескроу</w:t>
            </w:r>
            <w:proofErr w:type="spellEnd"/>
            <w:r w:rsidRPr="00E26CC4">
              <w:rPr>
                <w:lang w:eastAsia="en-US"/>
              </w:rPr>
              <w:t xml:space="preserve">, відкритих у кількох банках, ОР надає відповідним банкам платіжні інструкції (вимоги)  щодо такого учасника РДН/ВДР з урахуванням порядку пріоритетності використання його рахунків </w:t>
            </w:r>
            <w:proofErr w:type="spellStart"/>
            <w:r w:rsidRPr="00E26CC4">
              <w:rPr>
                <w:lang w:eastAsia="en-US"/>
              </w:rPr>
              <w:t>ескроу</w:t>
            </w:r>
            <w:proofErr w:type="spellEnd"/>
            <w:r w:rsidRPr="00E26CC4">
              <w:rPr>
                <w:lang w:eastAsia="en-US"/>
              </w:rPr>
              <w:t xml:space="preserve"> та залежно від наявних на них обсягів коштів.</w:t>
            </w:r>
          </w:p>
          <w:p w14:paraId="45C84C24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301DDB4B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04729A66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3B99FFD7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1DF8AB35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67CCCA65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367D8319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081B19F9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12C0084D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6C0B3734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bookmarkEnd w:id="1"/>
          <w:p w14:paraId="0551BFCE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>ОР визначає остаточні результати торгів на РДН, формує та надає учасникам РДН/ВДР не пізніше ніж до 13:30 години доби, що передує добі постачання, відомості розрахунків на РДН. У випадку оголошення додаткової сесії торгів на РДН або перенесення часу «закриття воріт РДН» відомості розрахунків на РДН надаються не пізніше часу, зазначеного у відповідному повідомленні ОР.</w:t>
            </w:r>
          </w:p>
        </w:tc>
        <w:tc>
          <w:tcPr>
            <w:tcW w:w="5033" w:type="dxa"/>
          </w:tcPr>
          <w:p w14:paraId="2C37E355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lastRenderedPageBreak/>
              <w:t xml:space="preserve">3.4.1. ОР на підставі результатів торгів на РДН відповідно до глави 4.1 розділу ІV цих Правил визначає по кожному учаснику цих торгів обсяги зобов’язань з оплати купленої та </w:t>
            </w:r>
            <w:r w:rsidRPr="00E26CC4">
              <w:rPr>
                <w:lang w:eastAsia="en-US"/>
              </w:rPr>
              <w:lastRenderedPageBreak/>
              <w:t>проданої на торгах на РДН електричної енергії щодо доби постачання та зобов’язання учасників РДН/ВДР з оплати послуг ОР із здійснення операцій купівлі-продажу на РДН.</w:t>
            </w:r>
          </w:p>
          <w:p w14:paraId="7718EEC5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 xml:space="preserve">Після визначення зобов’язань учасників РДН/ВДР з оплати купленої та проданої на торгах на РДН електричної енергії та зобов’язань учасників РДН/ВДР з оплати послуг ОР із здійснення операцій купівлі-продажу на РДН ОР надає банкам, у яких учасниками РДН/ВДР відкрито рахунки </w:t>
            </w:r>
            <w:proofErr w:type="spellStart"/>
            <w:r w:rsidRPr="00E26CC4">
              <w:rPr>
                <w:lang w:eastAsia="en-US"/>
              </w:rPr>
              <w:t>ескроу</w:t>
            </w:r>
            <w:proofErr w:type="spellEnd"/>
            <w:r w:rsidRPr="00E26CC4">
              <w:rPr>
                <w:lang w:eastAsia="en-US"/>
              </w:rPr>
              <w:t>, платіжні інструкції (вимоги) на перерахування сум коштів, визначених як зобов’язання відповідних учасників РДН/ВДР з оплати купленої на торгах на РДН електричної енергії, на поточний рахунок із спеціальним режимом використання ОР, та зобов’язань учасників РДН/ВДР з оплати послуг ОР із здійснення операцій купівлі-продажу на РДН – на поточний рахунок ОР.</w:t>
            </w:r>
          </w:p>
          <w:p w14:paraId="128CF2EE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 xml:space="preserve">Банк, що отримав від ОР платіжну інструкцію (вимогу), </w:t>
            </w:r>
            <w:r w:rsidRPr="00E26CC4">
              <w:rPr>
                <w:b/>
                <w:bCs/>
                <w:lang w:eastAsia="en-US"/>
              </w:rPr>
              <w:t>протягом 15 хвилин від часу її надходження</w:t>
            </w:r>
            <w:r w:rsidRPr="00E26CC4">
              <w:rPr>
                <w:lang w:eastAsia="en-US"/>
              </w:rPr>
              <w:t xml:space="preserve"> здійснює відповідний переказ коштів.</w:t>
            </w:r>
          </w:p>
          <w:p w14:paraId="44505593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>Якщо надана ОР платіжна інструкція (вимога) не була виконана банком(-</w:t>
            </w:r>
            <w:proofErr w:type="spellStart"/>
            <w:r w:rsidRPr="00E26CC4">
              <w:rPr>
                <w:lang w:eastAsia="en-US"/>
              </w:rPr>
              <w:t>ами</w:t>
            </w:r>
            <w:proofErr w:type="spellEnd"/>
            <w:r w:rsidRPr="00E26CC4">
              <w:rPr>
                <w:lang w:eastAsia="en-US"/>
              </w:rPr>
              <w:t>) щодо певного(-</w:t>
            </w:r>
            <w:proofErr w:type="spellStart"/>
            <w:r w:rsidRPr="00E26CC4">
              <w:rPr>
                <w:lang w:eastAsia="en-US"/>
              </w:rPr>
              <w:t>их</w:t>
            </w:r>
            <w:proofErr w:type="spellEnd"/>
            <w:r w:rsidRPr="00E26CC4">
              <w:rPr>
                <w:lang w:eastAsia="en-US"/>
              </w:rPr>
              <w:t>) учасника(-</w:t>
            </w:r>
            <w:proofErr w:type="spellStart"/>
            <w:r w:rsidRPr="00E26CC4">
              <w:rPr>
                <w:lang w:eastAsia="en-US"/>
              </w:rPr>
              <w:t>ів</w:t>
            </w:r>
            <w:proofErr w:type="spellEnd"/>
            <w:r w:rsidRPr="00E26CC4">
              <w:rPr>
                <w:lang w:eastAsia="en-US"/>
              </w:rPr>
              <w:t xml:space="preserve">) </w:t>
            </w:r>
            <w:r w:rsidRPr="00E26CC4">
              <w:rPr>
                <w:shd w:val="clear" w:color="auto" w:fill="FFFFFF" w:themeFill="background1"/>
                <w:lang w:eastAsia="en-US"/>
              </w:rPr>
              <w:t>РДН/ВДР</w:t>
            </w:r>
            <w:r w:rsidRPr="00E26CC4">
              <w:rPr>
                <w:lang w:eastAsia="en-US"/>
              </w:rPr>
              <w:t>,</w:t>
            </w:r>
            <w:r w:rsidRPr="00E26CC4">
              <w:rPr>
                <w:shd w:val="clear" w:color="auto" w:fill="FFFFFF" w:themeFill="background1"/>
                <w:lang w:eastAsia="en-US"/>
              </w:rPr>
              <w:t xml:space="preserve"> О</w:t>
            </w:r>
            <w:r w:rsidRPr="00E26CC4">
              <w:rPr>
                <w:lang w:eastAsia="en-US"/>
              </w:rPr>
              <w:t xml:space="preserve">Р повторно здійснює визначення ціни на електричну енергію та обсягів купівлі-продажу електричної енергії на РДН, виключивши </w:t>
            </w:r>
            <w:r w:rsidRPr="00E26CC4">
              <w:rPr>
                <w:lang w:eastAsia="en-US"/>
              </w:rPr>
              <w:lastRenderedPageBreak/>
              <w:t>заявку(-и) на торги на РДН відповідного(-</w:t>
            </w:r>
            <w:proofErr w:type="spellStart"/>
            <w:r w:rsidRPr="00E26CC4">
              <w:rPr>
                <w:lang w:eastAsia="en-US"/>
              </w:rPr>
              <w:t>их</w:t>
            </w:r>
            <w:proofErr w:type="spellEnd"/>
            <w:r w:rsidRPr="00E26CC4">
              <w:rPr>
                <w:lang w:eastAsia="en-US"/>
              </w:rPr>
              <w:t>) учасника(-</w:t>
            </w:r>
            <w:proofErr w:type="spellStart"/>
            <w:r w:rsidRPr="00E26CC4">
              <w:rPr>
                <w:lang w:eastAsia="en-US"/>
              </w:rPr>
              <w:t>ів</w:t>
            </w:r>
            <w:proofErr w:type="spellEnd"/>
            <w:r w:rsidRPr="00E26CC4">
              <w:rPr>
                <w:lang w:eastAsia="en-US"/>
              </w:rPr>
              <w:t>) РДН/ВДР з переліку заявок, допущених на торги на РДН.</w:t>
            </w:r>
          </w:p>
          <w:p w14:paraId="58EFBC52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>Після цього ОР повторює дії, передбачені абзацами першим, другим та четвертим цього пункту до повного виконання банком(-</w:t>
            </w:r>
            <w:proofErr w:type="spellStart"/>
            <w:r w:rsidRPr="00E26CC4">
              <w:rPr>
                <w:lang w:eastAsia="en-US"/>
              </w:rPr>
              <w:t>ами</w:t>
            </w:r>
            <w:proofErr w:type="spellEnd"/>
            <w:r w:rsidRPr="00E26CC4">
              <w:rPr>
                <w:lang w:eastAsia="en-US"/>
              </w:rPr>
              <w:t>) платіжних інструкцій (вимог), наданих ОР.</w:t>
            </w:r>
          </w:p>
          <w:p w14:paraId="0018806B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  <w:lang w:eastAsia="en-US"/>
              </w:rPr>
            </w:pPr>
            <w:r w:rsidRPr="00E26CC4">
              <w:rPr>
                <w:b/>
                <w:bCs/>
                <w:lang w:eastAsia="en-US"/>
              </w:rPr>
              <w:t>У разі здійснення повторного визначення ціни на РДН та обсягів купівлі-продажу електричної енергії на РДН, ОР визначає остаточні обсяги зобов’язань учасників РДН/ВДР.</w:t>
            </w:r>
          </w:p>
          <w:p w14:paraId="47032831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  <w:lang w:eastAsia="en-US"/>
              </w:rPr>
            </w:pPr>
            <w:r w:rsidRPr="00E26CC4">
              <w:rPr>
                <w:b/>
                <w:bCs/>
                <w:lang w:eastAsia="en-US"/>
              </w:rPr>
              <w:t xml:space="preserve">Якщо обсяги визначених остаточних зобов’язань учасників РДН/ВДР перевищують суми коштів, що вже були зараховані на поточний рахунок із спеціальним режимом використання ОР та поточний рахунок ОР при попередньому визначенні ціни та обсягів купівлі-продажу електричної енергії на РДН, ОР надає банкам платіжні інструкції (вимоги) щодо переказу з рахунків </w:t>
            </w:r>
            <w:proofErr w:type="spellStart"/>
            <w:r w:rsidRPr="00E26CC4">
              <w:rPr>
                <w:b/>
                <w:bCs/>
                <w:lang w:eastAsia="en-US"/>
              </w:rPr>
              <w:t>ескроу</w:t>
            </w:r>
            <w:proofErr w:type="spellEnd"/>
            <w:r w:rsidRPr="00E26CC4">
              <w:rPr>
                <w:b/>
                <w:bCs/>
                <w:lang w:eastAsia="en-US"/>
              </w:rPr>
              <w:t xml:space="preserve"> учасників РДН/ВДР на поточний рахунок із спеціальним режимом використання ОР та поточний рахунок ОР сум коштів, що відповідають такому перевищенню. </w:t>
            </w:r>
          </w:p>
          <w:p w14:paraId="5F29B6CB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  <w:lang w:eastAsia="en-US"/>
              </w:rPr>
            </w:pPr>
            <w:r w:rsidRPr="00E26CC4">
              <w:rPr>
                <w:b/>
                <w:bCs/>
                <w:lang w:eastAsia="en-US"/>
              </w:rPr>
              <w:t xml:space="preserve">Якщо суми коштів, що вже були зараховані на поточний рахунок із спеціальним режимом використання ОР та поточний рахунок ОР при попередньому визначенні </w:t>
            </w:r>
            <w:r w:rsidRPr="00E26CC4">
              <w:rPr>
                <w:b/>
                <w:bCs/>
                <w:lang w:eastAsia="en-US"/>
              </w:rPr>
              <w:lastRenderedPageBreak/>
              <w:t xml:space="preserve">ціни та обсягів купівлі-продажу електричної енергії на РДН, перевищують обсяги визначених остаточних зобов’язань учасників РДН/ВДР, суми коштів, що відповідають такому перевищенню, повертаються учасникам РДН/ВДР на їхні рахунки </w:t>
            </w:r>
            <w:proofErr w:type="spellStart"/>
            <w:r w:rsidRPr="00E26CC4">
              <w:rPr>
                <w:b/>
                <w:bCs/>
                <w:lang w:eastAsia="en-US"/>
              </w:rPr>
              <w:t>ескроу</w:t>
            </w:r>
            <w:proofErr w:type="spellEnd"/>
            <w:r w:rsidRPr="00E26CC4">
              <w:rPr>
                <w:b/>
                <w:bCs/>
                <w:lang w:eastAsia="en-US"/>
              </w:rPr>
              <w:t>.</w:t>
            </w:r>
          </w:p>
          <w:p w14:paraId="5E566CCD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  <w:lang w:eastAsia="en-US"/>
              </w:rPr>
            </w:pPr>
            <w:r w:rsidRPr="00E26CC4">
              <w:rPr>
                <w:lang w:eastAsia="en-US"/>
              </w:rPr>
              <w:t>ОР визначає остаточні результати торгів на РДН, формує та надає учасникам РДН/ВДР не пізніше ніж до 13:30 години доби, що передує добі постачання, відомості розрахунків на РДН. У випадку оголошення додаткової сесії торгів на РДН або перенесення часу «закриття воріт РДН» відомості розрахунків на РДН надаються не пізніше часу, зазначеного у відповідному повідомленні ОР.</w:t>
            </w:r>
          </w:p>
        </w:tc>
        <w:tc>
          <w:tcPr>
            <w:tcW w:w="4479" w:type="dxa"/>
          </w:tcPr>
          <w:p w14:paraId="3498D342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65ED5C32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5DF6E678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63F4708B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338E745D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7B12F4E4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2149B841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242E5EF8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21FE2344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2D9BB302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492F1C42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2F5BE339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7328D3FA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00590899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72AB82E9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38CA20BA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3D566001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35ADD770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692EABB1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3E7D947F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72B694E4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617AD6FA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4096213E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5A861AFE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65C66973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i/>
                <w:iCs/>
                <w:lang w:eastAsia="en-US"/>
              </w:rPr>
              <w:t xml:space="preserve">Визначення періоду часу як «невідкладно» є неоднозначним для трактування. Слід зазначити, що має бути однозначне розуміння щодо тривалості відповідної дії, яка стосується не лише банку, а й оператора ринку та учасників РДН/ВДР. </w:t>
            </w:r>
          </w:p>
          <w:p w14:paraId="07C83F31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282CE92F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5DFA7442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6C4AED0D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11750D34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52883292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4E08EB19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472FF2AD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157DB376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125A7CD4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34738504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4EC2C68A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21477F0A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  <w:r w:rsidRPr="00E26CC4">
              <w:rPr>
                <w:i/>
                <w:iCs/>
                <w:lang w:eastAsia="en-US"/>
              </w:rPr>
              <w:t>Пропонується інший механізм переказу коштів для зменшення часових термінів проведення розрахунку у випадках здійснення повторного визначення ціни на РДН та обсягів купівлі-продажу електричної енергії на РДН.</w:t>
            </w:r>
          </w:p>
          <w:p w14:paraId="4EE1737B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</w:tr>
      <w:tr w:rsidR="008F487B" w:rsidRPr="00E26CC4" w14:paraId="710B899B" w14:textId="77777777" w:rsidTr="00C6791E">
        <w:trPr>
          <w:trHeight w:val="283"/>
        </w:trPr>
        <w:tc>
          <w:tcPr>
            <w:tcW w:w="5032" w:type="dxa"/>
            <w:shd w:val="clear" w:color="auto" w:fill="auto"/>
          </w:tcPr>
          <w:p w14:paraId="4809F9FF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</w:pPr>
            <w:r w:rsidRPr="00E26CC4">
              <w:lastRenderedPageBreak/>
              <w:t>3.6.1. ОР щоденно на підставі результатів торгів на ВДР та відповідно до глави 4.2 розділу ІV цих Правил по кожному учаснику цих торгів о 9:00, 13:00, 15:30 та 17:00 визначає обсяги наявних на цей момент зобов’язань учасників РДН/ВДР з оплати купленої на торгах на ВДР електричної енергії та оплати послуг ОР із здійснення операцій купівлі-продажу на ВДР.</w:t>
            </w:r>
          </w:p>
          <w:p w14:paraId="41C899A2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</w:pPr>
            <w:r w:rsidRPr="00E26CC4">
              <w:t xml:space="preserve">Після визначення зобов’язань учасників РДН/ВДР з оплати купленої на торгах на ВДР електричної енергії та оплати послуг ОР із здійснення операцій купівлі-продажу на ВДР ОР надає банкам, у яких учасниками РДН/ВДР </w:t>
            </w:r>
            <w:r w:rsidRPr="00E26CC4">
              <w:lastRenderedPageBreak/>
              <w:t xml:space="preserve">відкрито рахунки </w:t>
            </w:r>
            <w:proofErr w:type="spellStart"/>
            <w:r w:rsidRPr="00E26CC4">
              <w:t>ескроу</w:t>
            </w:r>
            <w:proofErr w:type="spellEnd"/>
            <w:r w:rsidRPr="00E26CC4">
              <w:t>, платіжні інструкції (вимоги) на перерахування сум коштів, визначених як зобов’язання відповідних учасників РДН/ВДР з оплати купленої на торгах на ВДР електричної енергії, на поточний рахунок із спеціальним режимом використання ОР, та зобов’язань учасників РДН/ВДР з оплати послуг ОР із здійснення операцій купівлі-продажу на ВДР – на поточний рахунок ОР.</w:t>
            </w:r>
          </w:p>
          <w:p w14:paraId="47BAA834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val="ru-RU" w:eastAsia="en-US"/>
              </w:rPr>
            </w:pPr>
            <w:r w:rsidRPr="00E26CC4">
              <w:rPr>
                <w:lang w:eastAsia="en-US"/>
              </w:rPr>
              <w:t>Банк, що отримав від ОР платіжну інструкцію (вимогу), невідкладно здійснює відповідний переказ коштів</w:t>
            </w:r>
            <w:r w:rsidRPr="00E26CC4">
              <w:rPr>
                <w:lang w:val="ru-RU" w:eastAsia="en-US"/>
              </w:rPr>
              <w:t>.</w:t>
            </w:r>
          </w:p>
          <w:p w14:paraId="5ED3B040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</w:pPr>
          </w:p>
          <w:p w14:paraId="7A1D6D86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</w:pPr>
            <w:r w:rsidRPr="00E26CC4">
              <w:t>Якщо надана ОР платіжна інструкція (вимога) не була виконана банком(-</w:t>
            </w:r>
            <w:proofErr w:type="spellStart"/>
            <w:r w:rsidRPr="00E26CC4">
              <w:t>ами</w:t>
            </w:r>
            <w:proofErr w:type="spellEnd"/>
            <w:r w:rsidRPr="00E26CC4">
              <w:t>) щодо певного(-</w:t>
            </w:r>
            <w:proofErr w:type="spellStart"/>
            <w:r w:rsidRPr="00E26CC4">
              <w:t>их</w:t>
            </w:r>
            <w:proofErr w:type="spellEnd"/>
            <w:r w:rsidRPr="00E26CC4">
              <w:t>) учасника(-</w:t>
            </w:r>
            <w:proofErr w:type="spellStart"/>
            <w:r w:rsidRPr="00E26CC4">
              <w:t>ів</w:t>
            </w:r>
            <w:proofErr w:type="spellEnd"/>
            <w:r w:rsidRPr="00E26CC4">
              <w:t>) РДН/ВДР, ОР до часу «закриття воріт ВДР» скасовує (відхиляє) заявку(-и) або її неакцептовану(-і) частину(-и) на торги на ВДР відповідного(-</w:t>
            </w:r>
            <w:proofErr w:type="spellStart"/>
            <w:r w:rsidRPr="00E26CC4">
              <w:t>их</w:t>
            </w:r>
            <w:proofErr w:type="spellEnd"/>
            <w:r w:rsidRPr="00E26CC4">
              <w:t>) учасника(-</w:t>
            </w:r>
            <w:proofErr w:type="spellStart"/>
            <w:r w:rsidRPr="00E26CC4">
              <w:t>ів</w:t>
            </w:r>
            <w:proofErr w:type="spellEnd"/>
            <w:r w:rsidRPr="00E26CC4">
              <w:t>) РДН/ВДР, яка(-і) в момент такого скасування розміщена(-і) в реєстрі заявок на торги на ВДР та є доступна(-і) для торгів на ВДР.</w:t>
            </w:r>
          </w:p>
          <w:p w14:paraId="55FFAB8F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</w:pPr>
            <w:r w:rsidRPr="00E26CC4">
              <w:t>ОР за результатами торгів на ВДР формує та, відповідно до Правил ринку, надає ОСП за 30 хвилин до початку розрахункового періоду повідомлення про обсяги купівлі-продажу електричної енергії на торгах на ВДР на цей розрахунковий період.</w:t>
            </w:r>
          </w:p>
          <w:p w14:paraId="4C656CC8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lastRenderedPageBreak/>
              <w:t>У випадку проведення технічного обслуговування чи збою в роботі системи управління ринком ОСП, коли така інформація від ОР не може бути прийнята цією системою у встановлені терміни, ОР надає повідомлення про обсяги купівлі-продажу електричної енергії на торгах на ВДР після відновлення роботи останньої в цілому або забезпечення ОСП можливості прийняття цієї інформації.</w:t>
            </w:r>
          </w:p>
        </w:tc>
        <w:tc>
          <w:tcPr>
            <w:tcW w:w="5033" w:type="dxa"/>
          </w:tcPr>
          <w:p w14:paraId="6A0B1AB5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</w:pPr>
            <w:r w:rsidRPr="00E26CC4">
              <w:lastRenderedPageBreak/>
              <w:t>3.6.1. ОР щоденно на підставі результатів торгів на ВДР та відповідно до глави 4.2 розділу ІV цих Правил по кожному учаснику цих торгів о 9:00, 13:00, 15:30 та 17:00 визначає обсяги наявних на цей момент зобов’язань учасників РДН/ВДР з оплати купленої на торгах на ВДР електричної енергії та оплати послуг ОР із здійснення операцій купівлі-продажу на ВДР.</w:t>
            </w:r>
          </w:p>
          <w:p w14:paraId="470C7ABA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</w:pPr>
            <w:r w:rsidRPr="00E26CC4">
              <w:t xml:space="preserve">Після визначення зобов’язань учасників РДН/ВДР з оплати купленої на торгах на ВДР електричної енергії та оплати послуг ОР із здійснення операцій купівлі-продажу на ВДР ОР надає банкам, у яких учасниками РДН/ВДР </w:t>
            </w:r>
            <w:r w:rsidRPr="00E26CC4">
              <w:lastRenderedPageBreak/>
              <w:t xml:space="preserve">відкрито рахунки </w:t>
            </w:r>
            <w:proofErr w:type="spellStart"/>
            <w:r w:rsidRPr="00E26CC4">
              <w:t>ескроу</w:t>
            </w:r>
            <w:proofErr w:type="spellEnd"/>
            <w:r w:rsidRPr="00E26CC4">
              <w:t>, платіжні інструкції (вимоги) на перерахування сум коштів, визначених як зобов’язання відповідних учасників РДН/ВДР з оплати купленої на торгах на ВДР електричної енергії, на поточний рахунок із спеціальним режимом використання ОР, та зобов’язань учасників РДН/ВДР з оплати послуг ОР із здійснення операцій купівлі-продажу на ВДР – на поточний рахунок ОР.</w:t>
            </w:r>
          </w:p>
          <w:p w14:paraId="44CD1DC4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  <w:r w:rsidRPr="00E26CC4">
              <w:rPr>
                <w:lang w:eastAsia="en-US"/>
              </w:rPr>
              <w:t>Банк, що отримав від ОР платіжну інструкцію (вимогу),</w:t>
            </w:r>
            <w:r w:rsidRPr="00E26CC4">
              <w:rPr>
                <w:b/>
                <w:bCs/>
                <w:lang w:eastAsia="en-US"/>
              </w:rPr>
              <w:t xml:space="preserve"> протягом 15 хвилин від часу її надходження </w:t>
            </w:r>
            <w:r w:rsidRPr="00E26CC4">
              <w:rPr>
                <w:lang w:eastAsia="en-US"/>
              </w:rPr>
              <w:t xml:space="preserve">здійснює відповідний переказ коштів. </w:t>
            </w:r>
          </w:p>
          <w:p w14:paraId="0BFBCD23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bCs/>
                <w:i/>
                <w:iCs/>
                <w:lang w:eastAsia="en-US"/>
              </w:rPr>
            </w:pPr>
            <w:r w:rsidRPr="00E26CC4">
              <w:rPr>
                <w:bCs/>
              </w:rPr>
              <w:t>Якщо надана ОР платіжна інструкція (вимога) не була виконана банком(-</w:t>
            </w:r>
            <w:proofErr w:type="spellStart"/>
            <w:r w:rsidRPr="00E26CC4">
              <w:rPr>
                <w:bCs/>
              </w:rPr>
              <w:t>ами</w:t>
            </w:r>
            <w:proofErr w:type="spellEnd"/>
            <w:r w:rsidRPr="00E26CC4">
              <w:rPr>
                <w:bCs/>
              </w:rPr>
              <w:t>) щодо певного(-</w:t>
            </w:r>
            <w:proofErr w:type="spellStart"/>
            <w:r w:rsidRPr="00E26CC4">
              <w:rPr>
                <w:bCs/>
              </w:rPr>
              <w:t>их</w:t>
            </w:r>
            <w:proofErr w:type="spellEnd"/>
            <w:r w:rsidRPr="00E26CC4">
              <w:rPr>
                <w:bCs/>
              </w:rPr>
              <w:t>) учасника(-</w:t>
            </w:r>
            <w:proofErr w:type="spellStart"/>
            <w:r w:rsidRPr="00E26CC4">
              <w:rPr>
                <w:bCs/>
              </w:rPr>
              <w:t>ів</w:t>
            </w:r>
            <w:proofErr w:type="spellEnd"/>
            <w:r w:rsidRPr="00E26CC4">
              <w:rPr>
                <w:bCs/>
              </w:rPr>
              <w:t>) РДН/ВДР, ОР</w:t>
            </w:r>
            <w:r w:rsidRPr="00E26CC4">
              <w:rPr>
                <w:b/>
              </w:rPr>
              <w:t xml:space="preserve"> </w:t>
            </w:r>
            <w:r w:rsidRPr="00E26CC4">
              <w:rPr>
                <w:b/>
                <w:strike/>
              </w:rPr>
              <w:t>до часу «закриття воріт ВДР»</w:t>
            </w:r>
            <w:r w:rsidRPr="00E26CC4">
              <w:rPr>
                <w:b/>
              </w:rPr>
              <w:t xml:space="preserve"> </w:t>
            </w:r>
            <w:r w:rsidRPr="00E26CC4">
              <w:rPr>
                <w:bCs/>
              </w:rPr>
              <w:t>скасовує (відхиляє) заявку(-и) або її неакцептовану(-і) частину(-и) на торги на ВДР відповідного(-</w:t>
            </w:r>
            <w:proofErr w:type="spellStart"/>
            <w:r w:rsidRPr="00E26CC4">
              <w:rPr>
                <w:bCs/>
              </w:rPr>
              <w:t>их</w:t>
            </w:r>
            <w:proofErr w:type="spellEnd"/>
            <w:r w:rsidRPr="00E26CC4">
              <w:rPr>
                <w:bCs/>
              </w:rPr>
              <w:t>) учасника(-</w:t>
            </w:r>
            <w:proofErr w:type="spellStart"/>
            <w:r w:rsidRPr="00E26CC4">
              <w:rPr>
                <w:bCs/>
              </w:rPr>
              <w:t>ів</w:t>
            </w:r>
            <w:proofErr w:type="spellEnd"/>
            <w:r w:rsidRPr="00E26CC4">
              <w:rPr>
                <w:bCs/>
              </w:rPr>
              <w:t>) РДН/ВДР, яка(-і) в момент такого скасування розміщена(-і) в реєстрі заявок на торги на ВДР та є доступна(-і) для торгів на ВДР.</w:t>
            </w:r>
          </w:p>
          <w:p w14:paraId="55F95E87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</w:pPr>
            <w:r w:rsidRPr="00E26CC4">
              <w:t>ОР за результатами торгів на ВДР формує та, відповідно до Правил ринку, надає ОСП за 30 хвилин до початку розрахункового періоду повідомлення про обсяги купівлі-продажу електричної енергії на торгах на ВДР на цей розрахунковий період.</w:t>
            </w:r>
          </w:p>
          <w:p w14:paraId="5AAC3E54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</w:pPr>
            <w:r w:rsidRPr="00E26CC4">
              <w:lastRenderedPageBreak/>
              <w:t>У випадку проведення технічного обслуговування чи збою в роботі системи управління ринком ОСП, коли така інформація від ОР не може бути прийнята цією системою у встановлені терміни, ОР надає повідомлення про обсяги купівлі-продажу електричної енергії на торгах на ВДР після відновлення роботи останньої в цілому або забезпечення ОСП можливості прийняття цієї інформації.</w:t>
            </w:r>
          </w:p>
        </w:tc>
        <w:tc>
          <w:tcPr>
            <w:tcW w:w="4479" w:type="dxa"/>
          </w:tcPr>
          <w:p w14:paraId="1CDFFBD4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57CCA94A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61875B57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20C8022F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340875EE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43A0EF6C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100DD269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7D4DC741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2BE202E6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1895F5D1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4C04189C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5430EFAA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7467222C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3396F4E3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413D6887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6BDFE87E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07E727BB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49EBF172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7B9A8B4F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72DF614A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7EA43D01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7DC54991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14A449C6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7DAEDB69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38244AF9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  <w:r w:rsidRPr="00E26CC4">
              <w:rPr>
                <w:i/>
                <w:iCs/>
                <w:lang w:eastAsia="en-US"/>
              </w:rPr>
              <w:t>За аналогією з положенням п.3.4.1.</w:t>
            </w:r>
          </w:p>
          <w:p w14:paraId="635D07CC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0301190B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5C2A7F1B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655B0CEB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</w:pPr>
            <w:r w:rsidRPr="00E26CC4">
              <w:rPr>
                <w:i/>
                <w:iCs/>
                <w:lang w:eastAsia="en-US"/>
              </w:rPr>
              <w:t>Редакційно з урахуванням того, що заявка є доступною для торгів на ВДР до часу «закриття воріт ВДР».</w:t>
            </w:r>
          </w:p>
        </w:tc>
      </w:tr>
      <w:tr w:rsidR="008F487B" w:rsidRPr="00E26CC4" w14:paraId="0213E46E" w14:textId="77777777" w:rsidTr="00C6791E">
        <w:trPr>
          <w:trHeight w:val="283"/>
        </w:trPr>
        <w:tc>
          <w:tcPr>
            <w:tcW w:w="5032" w:type="dxa"/>
            <w:shd w:val="clear" w:color="auto" w:fill="auto"/>
          </w:tcPr>
          <w:p w14:paraId="62AAF146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</w:pPr>
            <w:r>
              <w:lastRenderedPageBreak/>
              <w:t>4.3.1. Розрахунки за куплену-продану на РДН/ВДР електричну енергію здійснюються з урахуванням податку на додану вартість грошовими коштами в національній валюті України через банки, перелік яких визначений ОР.</w:t>
            </w:r>
          </w:p>
          <w:p w14:paraId="52F6EEE8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</w:pPr>
            <w:r>
              <w:t>У разі якщо учасник РДН/ВДР, що здійснив продаж електричної енергії на РДН та/або на ВДР, не є платником податку на додану вартість, ОР здійснює розрахунки за продану електричну енергію з таким учасником РДН/ВДР без урахуванням податку на додану вартість грошовими коштами в національній валюті України через банки, перелік яких визначений ОР.</w:t>
            </w:r>
          </w:p>
        </w:tc>
        <w:tc>
          <w:tcPr>
            <w:tcW w:w="5033" w:type="dxa"/>
          </w:tcPr>
          <w:p w14:paraId="66382A5F" w14:textId="77777777" w:rsidR="008F487B" w:rsidRDefault="008F487B" w:rsidP="008F487B">
            <w:pPr>
              <w:pStyle w:val="rvps2"/>
              <w:spacing w:before="0" w:beforeAutospacing="0" w:after="0" w:afterAutospacing="0"/>
              <w:jc w:val="both"/>
            </w:pPr>
            <w:r>
              <w:t>4.3.1. Розрахунки за куплену-продану на РДН/ВДР електричну енергію здійснюються з урахуванням податку на додану вартість грошовими коштами в національній валюті України через банки, перелік яких визначений ОР.</w:t>
            </w:r>
          </w:p>
          <w:p w14:paraId="13BE7487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</w:pPr>
            <w:r>
              <w:t xml:space="preserve">У разі якщо учасник РДН/ВДР, що здійснив продаж електричної енергії на РДН та/або на ВДР, не є платником податку на додану вартість, ОР здійснює розрахунки за продану електричну енергію з таким учасником РДН/ВДР без </w:t>
            </w:r>
            <w:r w:rsidRPr="008F487B">
              <w:rPr>
                <w:b/>
                <w:bCs/>
              </w:rPr>
              <w:t>урахування</w:t>
            </w:r>
            <w:r>
              <w:t xml:space="preserve"> податку на додану вартість грошовими коштами в національній валюті України через банки, перелік яких визначений ОР.</w:t>
            </w:r>
          </w:p>
        </w:tc>
        <w:tc>
          <w:tcPr>
            <w:tcW w:w="4479" w:type="dxa"/>
          </w:tcPr>
          <w:p w14:paraId="0C8915BE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Редакційно.</w:t>
            </w:r>
          </w:p>
        </w:tc>
      </w:tr>
      <w:tr w:rsidR="008F487B" w:rsidRPr="00E26CC4" w14:paraId="5511908A" w14:textId="77777777" w:rsidTr="00C6791E">
        <w:trPr>
          <w:trHeight w:val="283"/>
        </w:trPr>
        <w:tc>
          <w:tcPr>
            <w:tcW w:w="5032" w:type="dxa"/>
            <w:hideMark/>
          </w:tcPr>
          <w:p w14:paraId="502F1199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 xml:space="preserve">4.3.2. ОР щоденно у порядку та строки, визначені відповідно до пунктів 3.4.1 та 3.6.1, надає банкам, у яких учасниками РДН/ВДР відкрито рахунки </w:t>
            </w:r>
            <w:proofErr w:type="spellStart"/>
            <w:r w:rsidRPr="00E26CC4">
              <w:rPr>
                <w:lang w:eastAsia="en-US"/>
              </w:rPr>
              <w:t>ескроу</w:t>
            </w:r>
            <w:proofErr w:type="spellEnd"/>
            <w:r w:rsidRPr="00E26CC4">
              <w:rPr>
                <w:lang w:eastAsia="en-US"/>
              </w:rPr>
              <w:t>, платіжні інструкції (вимоги) на перерахування сум коштів, визначених:</w:t>
            </w:r>
          </w:p>
          <w:p w14:paraId="38C2F8EB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lastRenderedPageBreak/>
              <w:t>як зобов’язання відповідних учасників РДН/ВДР з оплати купленої на торгах на РДН/ВДР електричної енергії, на поточний рахунок із спеціальним режимом використання ОР;</w:t>
            </w:r>
          </w:p>
          <w:p w14:paraId="2AD43427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>як зобов’язання відповідних учасників РДН/ВДР з оплати послуг ОР із здійснення операцій купівлі-продажу на РДН/ВДР, на поточний рахунок ОР.</w:t>
            </w:r>
          </w:p>
          <w:p w14:paraId="29E17B69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 xml:space="preserve">У разі забезпечення покриття зобов’язань учасника РДН/ВДР перед ОР з рахунків </w:t>
            </w:r>
            <w:proofErr w:type="spellStart"/>
            <w:r w:rsidRPr="00E26CC4">
              <w:rPr>
                <w:lang w:eastAsia="en-US"/>
              </w:rPr>
              <w:t>ескроу</w:t>
            </w:r>
            <w:proofErr w:type="spellEnd"/>
            <w:r w:rsidRPr="00E26CC4">
              <w:rPr>
                <w:lang w:eastAsia="en-US"/>
              </w:rPr>
              <w:t xml:space="preserve">, відкритих у кількох банках, ОР надає відповідним банкам платіжні інструкції (вимоги) щодо такого учасника РДН/ВДР з урахуванням порядку пріоритетності використання його рахунків </w:t>
            </w:r>
            <w:proofErr w:type="spellStart"/>
            <w:r w:rsidRPr="00E26CC4">
              <w:rPr>
                <w:lang w:eastAsia="en-US"/>
              </w:rPr>
              <w:t>ескроу</w:t>
            </w:r>
            <w:proofErr w:type="spellEnd"/>
            <w:r w:rsidRPr="00E26CC4">
              <w:rPr>
                <w:lang w:eastAsia="en-US"/>
              </w:rPr>
              <w:t xml:space="preserve"> та залежно від наявних на них обсягів коштів.</w:t>
            </w:r>
          </w:p>
          <w:p w14:paraId="4A482A4F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</w:pPr>
            <w:r w:rsidRPr="00E26CC4">
              <w:t>У разі неможливості здійснення оплати зобов’язань учасників РДН/ВДР за куплену на торгах на ВДР електричну енергію та послуг ОР із здійснення операцій купівлі-продажу на РДН/ВДР з рахунку(-</w:t>
            </w:r>
            <w:proofErr w:type="spellStart"/>
            <w:r w:rsidRPr="00E26CC4">
              <w:t>ів</w:t>
            </w:r>
            <w:proofErr w:type="spellEnd"/>
            <w:r w:rsidRPr="00E26CC4">
              <w:t xml:space="preserve">) </w:t>
            </w:r>
            <w:proofErr w:type="spellStart"/>
            <w:r w:rsidRPr="00E26CC4">
              <w:t>ескроу</w:t>
            </w:r>
            <w:proofErr w:type="spellEnd"/>
            <w:r w:rsidRPr="00E26CC4">
              <w:t xml:space="preserve"> учасника РДН/ВДР оплата повинна бути здійснена з будь-якого поточного рахунку учасника РДН/ВДР та/або з поточного рахунку інших осіб з відповідним обґрунтуванням та зазначенням призначення платежу.</w:t>
            </w:r>
          </w:p>
          <w:p w14:paraId="4D8BF742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0D9981A9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 xml:space="preserve">У випадку оголошення додаткової сесії або перенесення часу «закриття воріт РДН» вимога </w:t>
            </w:r>
            <w:r w:rsidRPr="00E26CC4">
              <w:rPr>
                <w:lang w:eastAsia="en-US"/>
              </w:rPr>
              <w:lastRenderedPageBreak/>
              <w:t>цього пункту має бути виконана у строк, що не перевищує 2,5 години, починаючи з часу «закриття воріт РДН».</w:t>
            </w:r>
          </w:p>
        </w:tc>
        <w:tc>
          <w:tcPr>
            <w:tcW w:w="5033" w:type="dxa"/>
          </w:tcPr>
          <w:p w14:paraId="550FEC56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lastRenderedPageBreak/>
              <w:t xml:space="preserve">4.3.2. ОР щоденно </w:t>
            </w:r>
            <w:r w:rsidRPr="00E26CC4">
              <w:rPr>
                <w:bCs/>
                <w:lang w:eastAsia="en-US"/>
              </w:rPr>
              <w:t xml:space="preserve">у порядку та строки, визначені </w:t>
            </w:r>
            <w:r w:rsidRPr="00E26CC4">
              <w:rPr>
                <w:b/>
                <w:lang w:eastAsia="en-US"/>
              </w:rPr>
              <w:t>цими Правилами</w:t>
            </w:r>
            <w:r w:rsidRPr="00E26CC4">
              <w:rPr>
                <w:lang w:eastAsia="en-US"/>
              </w:rPr>
              <w:t xml:space="preserve">, надає банкам, у яких учасниками РДН/ВДР відкрито рахунки </w:t>
            </w:r>
            <w:proofErr w:type="spellStart"/>
            <w:r w:rsidRPr="00E26CC4">
              <w:rPr>
                <w:lang w:eastAsia="en-US"/>
              </w:rPr>
              <w:t>ескроу</w:t>
            </w:r>
            <w:proofErr w:type="spellEnd"/>
            <w:r w:rsidRPr="00E26CC4">
              <w:rPr>
                <w:lang w:eastAsia="en-US"/>
              </w:rPr>
              <w:t>, платіжні</w:t>
            </w:r>
            <w:r w:rsidRPr="00E26CC4">
              <w:rPr>
                <w:b/>
                <w:lang w:eastAsia="en-US"/>
              </w:rPr>
              <w:t xml:space="preserve"> </w:t>
            </w:r>
            <w:r w:rsidRPr="00E26CC4">
              <w:rPr>
                <w:bCs/>
                <w:lang w:eastAsia="en-US"/>
              </w:rPr>
              <w:t>інструкції (вимоги</w:t>
            </w:r>
            <w:r w:rsidRPr="00E26CC4">
              <w:rPr>
                <w:b/>
                <w:lang w:eastAsia="en-US"/>
              </w:rPr>
              <w:t>)</w:t>
            </w:r>
            <w:r w:rsidRPr="00E26CC4">
              <w:rPr>
                <w:lang w:eastAsia="en-US"/>
              </w:rPr>
              <w:t xml:space="preserve"> на перерахування сум коштів, визначених:</w:t>
            </w:r>
          </w:p>
          <w:p w14:paraId="5EEA8511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14:paraId="65FFD79B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lastRenderedPageBreak/>
              <w:t>як зобов’язання відповідних учасників РДН/ВДР з оплати купленої на торгах на РДН/ВДР електричної енергії, на поточний рахунок із спеціальним режимом використання ОР;</w:t>
            </w:r>
          </w:p>
          <w:p w14:paraId="22FF4DDF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>як зобов’язання відповідних учасників РДН/ВДР з оплати послуг ОР із здійснення операцій купівлі-продажу на РДН/ВДР, на поточний рахунок ОР.</w:t>
            </w:r>
          </w:p>
          <w:p w14:paraId="375B2174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E26CC4">
              <w:rPr>
                <w:lang w:eastAsia="en-US"/>
              </w:rPr>
              <w:t xml:space="preserve">У разі забезпечення покриття зобов’язань учасника РДН/ВДР перед ОР з рахунків </w:t>
            </w:r>
            <w:proofErr w:type="spellStart"/>
            <w:r w:rsidRPr="00E26CC4">
              <w:rPr>
                <w:lang w:eastAsia="en-US"/>
              </w:rPr>
              <w:t>ескроу</w:t>
            </w:r>
            <w:proofErr w:type="spellEnd"/>
            <w:r w:rsidRPr="00E26CC4">
              <w:rPr>
                <w:lang w:eastAsia="en-US"/>
              </w:rPr>
              <w:t xml:space="preserve">, відкритих у кількох банках, ОР надає відповідним банкам платіжні </w:t>
            </w:r>
            <w:r w:rsidRPr="00E26CC4">
              <w:rPr>
                <w:bCs/>
                <w:lang w:eastAsia="en-US"/>
              </w:rPr>
              <w:t>інструкції (вимоги) щодо такого учасника РДН</w:t>
            </w:r>
            <w:r w:rsidRPr="00E26CC4">
              <w:rPr>
                <w:lang w:eastAsia="en-US"/>
              </w:rPr>
              <w:t xml:space="preserve">/ВДР з урахуванням порядку пріоритетності використання його рахунків </w:t>
            </w:r>
            <w:proofErr w:type="spellStart"/>
            <w:r w:rsidRPr="00E26CC4">
              <w:rPr>
                <w:lang w:eastAsia="en-US"/>
              </w:rPr>
              <w:t>ескроу</w:t>
            </w:r>
            <w:proofErr w:type="spellEnd"/>
            <w:r w:rsidRPr="00E26CC4">
              <w:rPr>
                <w:lang w:eastAsia="en-US"/>
              </w:rPr>
              <w:t xml:space="preserve"> та залежно від наявних на них обсягів коштів.</w:t>
            </w:r>
          </w:p>
          <w:p w14:paraId="3E1F36E2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bCs/>
                <w:lang w:eastAsia="en-US"/>
              </w:rPr>
            </w:pPr>
            <w:r w:rsidRPr="00E26CC4">
              <w:rPr>
                <w:bCs/>
              </w:rPr>
              <w:t>У разі неможливості здійснення оплати зобов’язань учасників РДН/ВДР за куплену на торгах на ВДР електричну енергію та послуг ОР із здійснення операцій купівлі-продажу на РДН/ВДР з рахунку(-</w:t>
            </w:r>
            <w:proofErr w:type="spellStart"/>
            <w:r w:rsidRPr="00E26CC4">
              <w:rPr>
                <w:bCs/>
              </w:rPr>
              <w:t>ів</w:t>
            </w:r>
            <w:proofErr w:type="spellEnd"/>
            <w:r w:rsidRPr="00E26CC4">
              <w:rPr>
                <w:bCs/>
              </w:rPr>
              <w:t xml:space="preserve">) </w:t>
            </w:r>
            <w:proofErr w:type="spellStart"/>
            <w:r w:rsidRPr="00E26CC4">
              <w:rPr>
                <w:bCs/>
              </w:rPr>
              <w:t>ескроу</w:t>
            </w:r>
            <w:proofErr w:type="spellEnd"/>
            <w:r w:rsidRPr="00E26CC4">
              <w:rPr>
                <w:bCs/>
              </w:rPr>
              <w:t xml:space="preserve"> учасника РДН/ВДР</w:t>
            </w:r>
            <w:r w:rsidRPr="00E26CC4">
              <w:rPr>
                <w:b/>
              </w:rPr>
              <w:t xml:space="preserve">, такий учасник повинен здійснити </w:t>
            </w:r>
            <w:r w:rsidRPr="009F0767">
              <w:rPr>
                <w:b/>
              </w:rPr>
              <w:t xml:space="preserve">оплату з будь-якого поточного рахунку учасника РДН/ВДР та/або </w:t>
            </w:r>
            <w:r w:rsidR="009F0767" w:rsidRPr="009F0767">
              <w:rPr>
                <w:b/>
              </w:rPr>
              <w:t xml:space="preserve">оплата повинна бути здійснена </w:t>
            </w:r>
            <w:r w:rsidRPr="00E26CC4">
              <w:rPr>
                <w:bCs/>
              </w:rPr>
              <w:t>з поточного рахунку інших осіб з відповідним обґрунтуванням та зазначенням призначення платежу.</w:t>
            </w:r>
          </w:p>
          <w:p w14:paraId="4E894A7A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  <w:r w:rsidRPr="00E26CC4">
              <w:rPr>
                <w:bCs/>
                <w:lang w:eastAsia="en-US"/>
              </w:rPr>
              <w:t xml:space="preserve">У випадку оголошення додаткової сесії або перенесення часу «закриття воріт РДН» вимога </w:t>
            </w:r>
            <w:r w:rsidRPr="00E26CC4">
              <w:rPr>
                <w:bCs/>
                <w:lang w:eastAsia="en-US"/>
              </w:rPr>
              <w:lastRenderedPageBreak/>
              <w:t>цього пункту має бути виконана у строк, що не перевищує 2,5 години, починаючи з часу «закриття воріт РДН».</w:t>
            </w:r>
          </w:p>
        </w:tc>
        <w:tc>
          <w:tcPr>
            <w:tcW w:w="4479" w:type="dxa"/>
          </w:tcPr>
          <w:p w14:paraId="03FB0403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  <w:r w:rsidRPr="00E26CC4">
              <w:rPr>
                <w:i/>
                <w:iCs/>
                <w:lang w:eastAsia="en-US"/>
              </w:rPr>
              <w:lastRenderedPageBreak/>
              <w:t>Редакційно у зв’язку з тим, що змінені положення цього пункту набиратимуть чинності раніше, ніж можливі терміни набрання чинності змінами, які пропонуються до пунктів 3.4.1 та 3.6.1.</w:t>
            </w:r>
          </w:p>
          <w:p w14:paraId="4FD5AAD3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53074248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5886B7FF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434D846F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0FDE6527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61DB3FF0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3330D1ED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72F22E9C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4FF31BBE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3C7C38A4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0495C5A5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00CC0B29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2ED4CA8F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346B9F4D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1FCB19AA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4DA451EE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33E7FE60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6616820A" w14:textId="77777777" w:rsidR="008F487B" w:rsidRPr="00E26CC4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</w:p>
          <w:p w14:paraId="08879952" w14:textId="77777777" w:rsidR="009F0767" w:rsidRPr="009F0767" w:rsidRDefault="008F487B" w:rsidP="008F487B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eastAsia="en-US"/>
              </w:rPr>
            </w:pPr>
            <w:r w:rsidRPr="00E26CC4">
              <w:rPr>
                <w:i/>
                <w:iCs/>
                <w:lang w:eastAsia="en-US"/>
              </w:rPr>
              <w:t>Редакційно, оскільки не зрозуміло до кого висувається вимога – до учасника чи його банка.</w:t>
            </w:r>
          </w:p>
        </w:tc>
      </w:tr>
    </w:tbl>
    <w:p w14:paraId="1DE2EF5A" w14:textId="77777777" w:rsidR="00D91045" w:rsidRDefault="00D91045" w:rsidP="00D9104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0514C8" w14:textId="77777777" w:rsidR="00D91045" w:rsidRPr="00D4586E" w:rsidRDefault="00D91045" w:rsidP="00D9104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Генеральний директор АТ «Оператор ринку»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Олександр ГАВВА</w:t>
      </w:r>
    </w:p>
    <w:p w14:paraId="2BFB0244" w14:textId="77777777" w:rsidR="00D91045" w:rsidRPr="00940236" w:rsidRDefault="00D91045" w:rsidP="00D910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D91045" w:rsidRPr="00940236" w:rsidSect="00BB3CA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/>
      <w:pgMar w:top="426" w:right="1381" w:bottom="2410" w:left="1418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6D8A2" w14:textId="77777777" w:rsidR="00C70B79" w:rsidRDefault="00C70B79" w:rsidP="00C85F1C">
      <w:pPr>
        <w:spacing w:after="0" w:line="240" w:lineRule="auto"/>
      </w:pPr>
      <w:r>
        <w:separator/>
      </w:r>
    </w:p>
  </w:endnote>
  <w:endnote w:type="continuationSeparator" w:id="0">
    <w:p w14:paraId="750D51B9" w14:textId="77777777" w:rsidR="00C70B79" w:rsidRDefault="00C70B79" w:rsidP="00C85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7243E" w14:textId="77777777" w:rsidR="00C85F1C" w:rsidRDefault="00C85F1C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11798" w14:textId="77777777" w:rsidR="00C85F1C" w:rsidRDefault="00C85F1C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8DA3D" w14:textId="77777777" w:rsidR="00C85F1C" w:rsidRDefault="00C85F1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787B1" w14:textId="77777777" w:rsidR="00C70B79" w:rsidRDefault="00C70B79" w:rsidP="00C85F1C">
      <w:pPr>
        <w:spacing w:after="0" w:line="240" w:lineRule="auto"/>
      </w:pPr>
      <w:r>
        <w:separator/>
      </w:r>
    </w:p>
  </w:footnote>
  <w:footnote w:type="continuationSeparator" w:id="0">
    <w:p w14:paraId="3CD813BD" w14:textId="77777777" w:rsidR="00C70B79" w:rsidRDefault="00C70B79" w:rsidP="00C85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74D0C" w14:textId="77777777" w:rsidR="00C85F1C" w:rsidRDefault="00C85F1C">
    <w:pPr>
      <w:pStyle w:val="aff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870506"/>
      <w:docPartObj>
        <w:docPartGallery w:val="Page Numbers (Top of Page)"/>
        <w:docPartUnique/>
      </w:docPartObj>
    </w:sdtPr>
    <w:sdtEndPr/>
    <w:sdtContent>
      <w:p w14:paraId="698DAF41" w14:textId="77777777" w:rsidR="00C85F1C" w:rsidRDefault="00C85F1C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894C9E" w14:textId="77777777" w:rsidR="00C85F1C" w:rsidRDefault="00C85F1C">
    <w:pPr>
      <w:pStyle w:val="aff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F3686" w14:textId="77777777" w:rsidR="00C85F1C" w:rsidRDefault="00C85F1C">
    <w:pPr>
      <w:pStyle w:val="af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C1020"/>
    <w:multiLevelType w:val="multilevel"/>
    <w:tmpl w:val="8A5EC178"/>
    <w:lvl w:ilvl="0">
      <w:start w:val="1"/>
      <w:numFmt w:val="decimal"/>
      <w:pStyle w:val="Heading1applicatio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application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ormalapplication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ormalnumberingapplication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1572699"/>
    <w:multiLevelType w:val="hybridMultilevel"/>
    <w:tmpl w:val="CCE6454C"/>
    <w:lvl w:ilvl="0" w:tplc="04220011">
      <w:start w:val="1"/>
      <w:numFmt w:val="decimal"/>
      <w:lvlText w:val="%1)"/>
      <w:lvlJc w:val="left"/>
      <w:pPr>
        <w:ind w:left="2629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E56F2"/>
    <w:multiLevelType w:val="singleLevel"/>
    <w:tmpl w:val="EE1C6EE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" w15:restartNumberingAfterBreak="0">
    <w:nsid w:val="5EB105C9"/>
    <w:multiLevelType w:val="hybridMultilevel"/>
    <w:tmpl w:val="AE0ED2D8"/>
    <w:lvl w:ilvl="0" w:tplc="45121540">
      <w:start w:val="1"/>
      <w:numFmt w:val="decimal"/>
      <w:lvlText w:val="%1."/>
      <w:lvlJc w:val="left"/>
      <w:pPr>
        <w:ind w:left="652" w:hanging="360"/>
      </w:pPr>
    </w:lvl>
    <w:lvl w:ilvl="1" w:tplc="10000019">
      <w:start w:val="1"/>
      <w:numFmt w:val="lowerLetter"/>
      <w:lvlText w:val="%2."/>
      <w:lvlJc w:val="left"/>
      <w:pPr>
        <w:ind w:left="1372" w:hanging="360"/>
      </w:pPr>
    </w:lvl>
    <w:lvl w:ilvl="2" w:tplc="1000001B">
      <w:start w:val="1"/>
      <w:numFmt w:val="lowerRoman"/>
      <w:lvlText w:val="%3."/>
      <w:lvlJc w:val="right"/>
      <w:pPr>
        <w:ind w:left="2092" w:hanging="180"/>
      </w:pPr>
    </w:lvl>
    <w:lvl w:ilvl="3" w:tplc="1000000F">
      <w:start w:val="1"/>
      <w:numFmt w:val="decimal"/>
      <w:lvlText w:val="%4."/>
      <w:lvlJc w:val="left"/>
      <w:pPr>
        <w:ind w:left="2812" w:hanging="360"/>
      </w:pPr>
    </w:lvl>
    <w:lvl w:ilvl="4" w:tplc="10000019">
      <w:start w:val="1"/>
      <w:numFmt w:val="lowerLetter"/>
      <w:lvlText w:val="%5."/>
      <w:lvlJc w:val="left"/>
      <w:pPr>
        <w:ind w:left="3532" w:hanging="360"/>
      </w:pPr>
    </w:lvl>
    <w:lvl w:ilvl="5" w:tplc="1000001B">
      <w:start w:val="1"/>
      <w:numFmt w:val="lowerRoman"/>
      <w:lvlText w:val="%6."/>
      <w:lvlJc w:val="right"/>
      <w:pPr>
        <w:ind w:left="4252" w:hanging="180"/>
      </w:pPr>
    </w:lvl>
    <w:lvl w:ilvl="6" w:tplc="1000000F">
      <w:start w:val="1"/>
      <w:numFmt w:val="decimal"/>
      <w:lvlText w:val="%7."/>
      <w:lvlJc w:val="left"/>
      <w:pPr>
        <w:ind w:left="4972" w:hanging="360"/>
      </w:pPr>
    </w:lvl>
    <w:lvl w:ilvl="7" w:tplc="10000019">
      <w:start w:val="1"/>
      <w:numFmt w:val="lowerLetter"/>
      <w:lvlText w:val="%8."/>
      <w:lvlJc w:val="left"/>
      <w:pPr>
        <w:ind w:left="5692" w:hanging="360"/>
      </w:pPr>
    </w:lvl>
    <w:lvl w:ilvl="8" w:tplc="1000001B">
      <w:start w:val="1"/>
      <w:numFmt w:val="lowerRoman"/>
      <w:lvlText w:val="%9."/>
      <w:lvlJc w:val="right"/>
      <w:pPr>
        <w:ind w:left="6412" w:hanging="180"/>
      </w:pPr>
    </w:lvl>
  </w:abstractNum>
  <w:abstractNum w:abstractNumId="4" w15:restartNumberingAfterBreak="0">
    <w:nsid w:val="61FE17F5"/>
    <w:multiLevelType w:val="hybridMultilevel"/>
    <w:tmpl w:val="1CEE1F74"/>
    <w:lvl w:ilvl="0" w:tplc="59DCE126">
      <w:start w:val="1"/>
      <w:numFmt w:val="decimal"/>
      <w:lvlText w:val="%1."/>
      <w:lvlJc w:val="left"/>
      <w:pPr>
        <w:ind w:left="644" w:hanging="360"/>
      </w:pPr>
    </w:lvl>
    <w:lvl w:ilvl="1" w:tplc="10000019">
      <w:start w:val="1"/>
      <w:numFmt w:val="lowerLetter"/>
      <w:lvlText w:val="%2."/>
      <w:lvlJc w:val="left"/>
      <w:pPr>
        <w:ind w:left="1364" w:hanging="360"/>
      </w:pPr>
    </w:lvl>
    <w:lvl w:ilvl="2" w:tplc="1000001B">
      <w:start w:val="1"/>
      <w:numFmt w:val="lowerRoman"/>
      <w:lvlText w:val="%3."/>
      <w:lvlJc w:val="right"/>
      <w:pPr>
        <w:ind w:left="2084" w:hanging="180"/>
      </w:pPr>
    </w:lvl>
    <w:lvl w:ilvl="3" w:tplc="1000000F">
      <w:start w:val="1"/>
      <w:numFmt w:val="decimal"/>
      <w:lvlText w:val="%4."/>
      <w:lvlJc w:val="left"/>
      <w:pPr>
        <w:ind w:left="2804" w:hanging="360"/>
      </w:pPr>
    </w:lvl>
    <w:lvl w:ilvl="4" w:tplc="10000019">
      <w:start w:val="1"/>
      <w:numFmt w:val="lowerLetter"/>
      <w:lvlText w:val="%5."/>
      <w:lvlJc w:val="left"/>
      <w:pPr>
        <w:ind w:left="3524" w:hanging="360"/>
      </w:pPr>
    </w:lvl>
    <w:lvl w:ilvl="5" w:tplc="1000001B">
      <w:start w:val="1"/>
      <w:numFmt w:val="lowerRoman"/>
      <w:lvlText w:val="%6."/>
      <w:lvlJc w:val="right"/>
      <w:pPr>
        <w:ind w:left="4244" w:hanging="180"/>
      </w:pPr>
    </w:lvl>
    <w:lvl w:ilvl="6" w:tplc="1000000F">
      <w:start w:val="1"/>
      <w:numFmt w:val="decimal"/>
      <w:lvlText w:val="%7."/>
      <w:lvlJc w:val="left"/>
      <w:pPr>
        <w:ind w:left="4964" w:hanging="360"/>
      </w:pPr>
    </w:lvl>
    <w:lvl w:ilvl="7" w:tplc="10000019">
      <w:start w:val="1"/>
      <w:numFmt w:val="lowerLetter"/>
      <w:lvlText w:val="%8."/>
      <w:lvlJc w:val="left"/>
      <w:pPr>
        <w:ind w:left="5684" w:hanging="360"/>
      </w:pPr>
    </w:lvl>
    <w:lvl w:ilvl="8" w:tplc="1000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CC9"/>
    <w:rsid w:val="00004D16"/>
    <w:rsid w:val="00006BD2"/>
    <w:rsid w:val="000075E3"/>
    <w:rsid w:val="000077D0"/>
    <w:rsid w:val="0001126F"/>
    <w:rsid w:val="0001792E"/>
    <w:rsid w:val="00023CAF"/>
    <w:rsid w:val="00026D81"/>
    <w:rsid w:val="00037A8E"/>
    <w:rsid w:val="00056E94"/>
    <w:rsid w:val="00076D74"/>
    <w:rsid w:val="00081AB5"/>
    <w:rsid w:val="0009386E"/>
    <w:rsid w:val="000A06C2"/>
    <w:rsid w:val="000A3620"/>
    <w:rsid w:val="000B5542"/>
    <w:rsid w:val="000C765A"/>
    <w:rsid w:val="000D08A1"/>
    <w:rsid w:val="000E385C"/>
    <w:rsid w:val="000F379B"/>
    <w:rsid w:val="000F3BA7"/>
    <w:rsid w:val="000F6B56"/>
    <w:rsid w:val="000F7108"/>
    <w:rsid w:val="00107109"/>
    <w:rsid w:val="00110666"/>
    <w:rsid w:val="00113646"/>
    <w:rsid w:val="00127EF1"/>
    <w:rsid w:val="00134374"/>
    <w:rsid w:val="00144EDB"/>
    <w:rsid w:val="001576DA"/>
    <w:rsid w:val="0016100F"/>
    <w:rsid w:val="001677F8"/>
    <w:rsid w:val="00173834"/>
    <w:rsid w:val="00177205"/>
    <w:rsid w:val="0019006A"/>
    <w:rsid w:val="00196218"/>
    <w:rsid w:val="00197D3F"/>
    <w:rsid w:val="001A721E"/>
    <w:rsid w:val="001C336A"/>
    <w:rsid w:val="001D6B1A"/>
    <w:rsid w:val="001E206A"/>
    <w:rsid w:val="00204668"/>
    <w:rsid w:val="00206BC5"/>
    <w:rsid w:val="0021501F"/>
    <w:rsid w:val="00223AC2"/>
    <w:rsid w:val="00237841"/>
    <w:rsid w:val="0024637D"/>
    <w:rsid w:val="00246B42"/>
    <w:rsid w:val="002636D2"/>
    <w:rsid w:val="002775E7"/>
    <w:rsid w:val="002778E6"/>
    <w:rsid w:val="00281D20"/>
    <w:rsid w:val="00295AAB"/>
    <w:rsid w:val="002B220B"/>
    <w:rsid w:val="002C07E1"/>
    <w:rsid w:val="002E2FA3"/>
    <w:rsid w:val="0030269C"/>
    <w:rsid w:val="0031165C"/>
    <w:rsid w:val="00317ECA"/>
    <w:rsid w:val="00320FF3"/>
    <w:rsid w:val="0032325A"/>
    <w:rsid w:val="00325114"/>
    <w:rsid w:val="00334778"/>
    <w:rsid w:val="003473DB"/>
    <w:rsid w:val="00347500"/>
    <w:rsid w:val="00353070"/>
    <w:rsid w:val="0035607F"/>
    <w:rsid w:val="00386BB1"/>
    <w:rsid w:val="0039463B"/>
    <w:rsid w:val="00397EC8"/>
    <w:rsid w:val="003A4998"/>
    <w:rsid w:val="003B7DD3"/>
    <w:rsid w:val="003C647E"/>
    <w:rsid w:val="003D1C6C"/>
    <w:rsid w:val="003E57D6"/>
    <w:rsid w:val="003F1099"/>
    <w:rsid w:val="00400D4E"/>
    <w:rsid w:val="00400EA7"/>
    <w:rsid w:val="00402E3C"/>
    <w:rsid w:val="0041366C"/>
    <w:rsid w:val="00421742"/>
    <w:rsid w:val="00423795"/>
    <w:rsid w:val="00427304"/>
    <w:rsid w:val="004274EF"/>
    <w:rsid w:val="00440C43"/>
    <w:rsid w:val="00455EB6"/>
    <w:rsid w:val="004644CB"/>
    <w:rsid w:val="00470751"/>
    <w:rsid w:val="00485A4D"/>
    <w:rsid w:val="00490CE8"/>
    <w:rsid w:val="004C22A5"/>
    <w:rsid w:val="004D2CB1"/>
    <w:rsid w:val="004D5770"/>
    <w:rsid w:val="004E33A3"/>
    <w:rsid w:val="004F1997"/>
    <w:rsid w:val="00501BE0"/>
    <w:rsid w:val="00502DB4"/>
    <w:rsid w:val="00505A94"/>
    <w:rsid w:val="00514624"/>
    <w:rsid w:val="00515A20"/>
    <w:rsid w:val="00516267"/>
    <w:rsid w:val="00526211"/>
    <w:rsid w:val="00530D02"/>
    <w:rsid w:val="00571BA1"/>
    <w:rsid w:val="00590488"/>
    <w:rsid w:val="005963F1"/>
    <w:rsid w:val="005A0BFE"/>
    <w:rsid w:val="005A114E"/>
    <w:rsid w:val="005B05EF"/>
    <w:rsid w:val="005B5FB6"/>
    <w:rsid w:val="005E0423"/>
    <w:rsid w:val="00614735"/>
    <w:rsid w:val="00625457"/>
    <w:rsid w:val="006259C1"/>
    <w:rsid w:val="006341DC"/>
    <w:rsid w:val="00640157"/>
    <w:rsid w:val="00647AAA"/>
    <w:rsid w:val="006519DD"/>
    <w:rsid w:val="00654EC6"/>
    <w:rsid w:val="00655700"/>
    <w:rsid w:val="00660AA1"/>
    <w:rsid w:val="006616B5"/>
    <w:rsid w:val="006A5018"/>
    <w:rsid w:val="006C13EC"/>
    <w:rsid w:val="006C5024"/>
    <w:rsid w:val="006D16C8"/>
    <w:rsid w:val="006D7E1D"/>
    <w:rsid w:val="006E5B41"/>
    <w:rsid w:val="006E5EBA"/>
    <w:rsid w:val="006F3E30"/>
    <w:rsid w:val="00714F2B"/>
    <w:rsid w:val="00715CD9"/>
    <w:rsid w:val="007212CE"/>
    <w:rsid w:val="007402C0"/>
    <w:rsid w:val="00745DFF"/>
    <w:rsid w:val="00746C67"/>
    <w:rsid w:val="00755ACD"/>
    <w:rsid w:val="00761DF7"/>
    <w:rsid w:val="00766098"/>
    <w:rsid w:val="007676C7"/>
    <w:rsid w:val="007768E0"/>
    <w:rsid w:val="00791E28"/>
    <w:rsid w:val="007B0E95"/>
    <w:rsid w:val="007D2953"/>
    <w:rsid w:val="007D6D3B"/>
    <w:rsid w:val="007E08C0"/>
    <w:rsid w:val="007E0F19"/>
    <w:rsid w:val="007E6AE0"/>
    <w:rsid w:val="007F13DC"/>
    <w:rsid w:val="007F516D"/>
    <w:rsid w:val="007F5DB1"/>
    <w:rsid w:val="007F725E"/>
    <w:rsid w:val="00807DFC"/>
    <w:rsid w:val="008107FA"/>
    <w:rsid w:val="00831769"/>
    <w:rsid w:val="00832765"/>
    <w:rsid w:val="00837B62"/>
    <w:rsid w:val="00843294"/>
    <w:rsid w:val="00853D8D"/>
    <w:rsid w:val="00854344"/>
    <w:rsid w:val="00854886"/>
    <w:rsid w:val="008570A0"/>
    <w:rsid w:val="008675D6"/>
    <w:rsid w:val="00870391"/>
    <w:rsid w:val="0087632B"/>
    <w:rsid w:val="00886B18"/>
    <w:rsid w:val="00890F57"/>
    <w:rsid w:val="008978CC"/>
    <w:rsid w:val="008A6194"/>
    <w:rsid w:val="008E1B93"/>
    <w:rsid w:val="008F487B"/>
    <w:rsid w:val="00906222"/>
    <w:rsid w:val="00906580"/>
    <w:rsid w:val="00915226"/>
    <w:rsid w:val="00932684"/>
    <w:rsid w:val="00940236"/>
    <w:rsid w:val="0094706B"/>
    <w:rsid w:val="00947CF0"/>
    <w:rsid w:val="00954BDF"/>
    <w:rsid w:val="00956D69"/>
    <w:rsid w:val="00964359"/>
    <w:rsid w:val="00965364"/>
    <w:rsid w:val="009656B4"/>
    <w:rsid w:val="00983ECA"/>
    <w:rsid w:val="00992A4F"/>
    <w:rsid w:val="009A0A53"/>
    <w:rsid w:val="009A73E1"/>
    <w:rsid w:val="009B0785"/>
    <w:rsid w:val="009C60B8"/>
    <w:rsid w:val="009C7F01"/>
    <w:rsid w:val="009E59BA"/>
    <w:rsid w:val="009F0767"/>
    <w:rsid w:val="009F1A6C"/>
    <w:rsid w:val="009F572C"/>
    <w:rsid w:val="00A03907"/>
    <w:rsid w:val="00A062A5"/>
    <w:rsid w:val="00A3446D"/>
    <w:rsid w:val="00A40028"/>
    <w:rsid w:val="00A473DE"/>
    <w:rsid w:val="00A65DE2"/>
    <w:rsid w:val="00A81176"/>
    <w:rsid w:val="00A93D69"/>
    <w:rsid w:val="00AA2443"/>
    <w:rsid w:val="00AB30AD"/>
    <w:rsid w:val="00AB6AAC"/>
    <w:rsid w:val="00AB6EAE"/>
    <w:rsid w:val="00AD23B5"/>
    <w:rsid w:val="00AF646B"/>
    <w:rsid w:val="00B070F6"/>
    <w:rsid w:val="00B33314"/>
    <w:rsid w:val="00B35FF9"/>
    <w:rsid w:val="00B45A14"/>
    <w:rsid w:val="00B55AD9"/>
    <w:rsid w:val="00B87E18"/>
    <w:rsid w:val="00B94CD0"/>
    <w:rsid w:val="00BA00E0"/>
    <w:rsid w:val="00BA3CA0"/>
    <w:rsid w:val="00BA7EF1"/>
    <w:rsid w:val="00BB3CA5"/>
    <w:rsid w:val="00BC2809"/>
    <w:rsid w:val="00BC3E50"/>
    <w:rsid w:val="00BC6B6C"/>
    <w:rsid w:val="00BD4337"/>
    <w:rsid w:val="00BE2BCE"/>
    <w:rsid w:val="00BE3D39"/>
    <w:rsid w:val="00BE5925"/>
    <w:rsid w:val="00C059B0"/>
    <w:rsid w:val="00C128E9"/>
    <w:rsid w:val="00C14A8A"/>
    <w:rsid w:val="00C25F5C"/>
    <w:rsid w:val="00C26B72"/>
    <w:rsid w:val="00C35844"/>
    <w:rsid w:val="00C36134"/>
    <w:rsid w:val="00C43A04"/>
    <w:rsid w:val="00C43A16"/>
    <w:rsid w:val="00C47582"/>
    <w:rsid w:val="00C54733"/>
    <w:rsid w:val="00C6791E"/>
    <w:rsid w:val="00C70B79"/>
    <w:rsid w:val="00C82FC5"/>
    <w:rsid w:val="00C85F1C"/>
    <w:rsid w:val="00C87D48"/>
    <w:rsid w:val="00C948BC"/>
    <w:rsid w:val="00C971CB"/>
    <w:rsid w:val="00CA313E"/>
    <w:rsid w:val="00CA39D6"/>
    <w:rsid w:val="00CD24C7"/>
    <w:rsid w:val="00CE3DC0"/>
    <w:rsid w:val="00CE52C9"/>
    <w:rsid w:val="00D10831"/>
    <w:rsid w:val="00D120A9"/>
    <w:rsid w:val="00D15982"/>
    <w:rsid w:val="00D161A1"/>
    <w:rsid w:val="00D376B3"/>
    <w:rsid w:val="00D5307A"/>
    <w:rsid w:val="00D81245"/>
    <w:rsid w:val="00D81B51"/>
    <w:rsid w:val="00D87D13"/>
    <w:rsid w:val="00D90CC9"/>
    <w:rsid w:val="00D91045"/>
    <w:rsid w:val="00D92E9B"/>
    <w:rsid w:val="00DB1936"/>
    <w:rsid w:val="00DB3526"/>
    <w:rsid w:val="00DB719B"/>
    <w:rsid w:val="00DD09F5"/>
    <w:rsid w:val="00DE678B"/>
    <w:rsid w:val="00DF2B00"/>
    <w:rsid w:val="00E11825"/>
    <w:rsid w:val="00E26CC4"/>
    <w:rsid w:val="00E3417C"/>
    <w:rsid w:val="00E511F0"/>
    <w:rsid w:val="00E53E2D"/>
    <w:rsid w:val="00E5676C"/>
    <w:rsid w:val="00E75419"/>
    <w:rsid w:val="00E94537"/>
    <w:rsid w:val="00E95931"/>
    <w:rsid w:val="00E97BAE"/>
    <w:rsid w:val="00EA2F56"/>
    <w:rsid w:val="00EB4623"/>
    <w:rsid w:val="00EE12A7"/>
    <w:rsid w:val="00EE76D0"/>
    <w:rsid w:val="00EF1B18"/>
    <w:rsid w:val="00F008FE"/>
    <w:rsid w:val="00F2215C"/>
    <w:rsid w:val="00F33479"/>
    <w:rsid w:val="00F35AFC"/>
    <w:rsid w:val="00F44E16"/>
    <w:rsid w:val="00F50FC8"/>
    <w:rsid w:val="00F5537D"/>
    <w:rsid w:val="00F62243"/>
    <w:rsid w:val="00F6451F"/>
    <w:rsid w:val="00F7655A"/>
    <w:rsid w:val="00F85E72"/>
    <w:rsid w:val="00F97CE2"/>
    <w:rsid w:val="00FB221D"/>
    <w:rsid w:val="00FB52A5"/>
    <w:rsid w:val="00FB5FD9"/>
    <w:rsid w:val="00FC255A"/>
    <w:rsid w:val="00FC3F96"/>
    <w:rsid w:val="00FD4E8F"/>
    <w:rsid w:val="00FE012E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9CE95"/>
  <w15:docId w15:val="{FAA686A6-2AEE-43A4-8246-226B7DFCC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9D6"/>
  </w:style>
  <w:style w:type="paragraph" w:styleId="1">
    <w:name w:val="heading 1"/>
    <w:basedOn w:val="a"/>
    <w:next w:val="a"/>
    <w:link w:val="10"/>
    <w:uiPriority w:val="9"/>
    <w:qFormat/>
    <w:rsid w:val="00ED6F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6F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E53DB0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5">
    <w:name w:val="Table Grid"/>
    <w:basedOn w:val="a1"/>
    <w:uiPriority w:val="59"/>
    <w:rsid w:val="00ED6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ED6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2">
    <w:name w:val="rvps12"/>
    <w:basedOn w:val="a"/>
    <w:rsid w:val="00ED6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ED6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numberingapplication">
    <w:name w:val="Normal numbering application"/>
    <w:basedOn w:val="a"/>
    <w:rsid w:val="00ED6F38"/>
    <w:pPr>
      <w:widowControl w:val="0"/>
      <w:numPr>
        <w:ilvl w:val="3"/>
        <w:numId w:val="1"/>
      </w:numPr>
      <w:spacing w:before="240" w:after="240" w:line="240" w:lineRule="auto"/>
      <w:ind w:left="0"/>
      <w:jc w:val="both"/>
      <w:outlineLvl w:val="2"/>
    </w:pPr>
    <w:rPr>
      <w:rFonts w:ascii="Times New Roman" w:hAnsi="Times New Roman" w:cs="Helvetica"/>
      <w:sz w:val="28"/>
      <w:szCs w:val="24"/>
    </w:rPr>
  </w:style>
  <w:style w:type="paragraph" w:customStyle="1" w:styleId="Heading2application">
    <w:name w:val="Heading 2 application"/>
    <w:basedOn w:val="2"/>
    <w:qFormat/>
    <w:rsid w:val="00ED6F38"/>
    <w:pPr>
      <w:widowControl w:val="0"/>
      <w:numPr>
        <w:ilvl w:val="1"/>
        <w:numId w:val="1"/>
      </w:numPr>
      <w:tabs>
        <w:tab w:val="clear" w:pos="1440"/>
        <w:tab w:val="num" w:pos="360"/>
        <w:tab w:val="left" w:pos="1418"/>
      </w:tabs>
      <w:spacing w:before="120" w:after="120" w:line="240" w:lineRule="auto"/>
      <w:ind w:left="7240"/>
      <w:jc w:val="center"/>
    </w:pPr>
    <w:rPr>
      <w:rFonts w:ascii="Times New Roman" w:eastAsia="Calibri" w:hAnsi="Times New Roman" w:cs="Times New Roman"/>
      <w:b/>
      <w:color w:val="000000"/>
      <w:sz w:val="28"/>
    </w:rPr>
  </w:style>
  <w:style w:type="paragraph" w:customStyle="1" w:styleId="Heading1application">
    <w:name w:val="Heading 1 application"/>
    <w:basedOn w:val="1"/>
    <w:qFormat/>
    <w:rsid w:val="00ED6F38"/>
    <w:pPr>
      <w:widowControl w:val="0"/>
      <w:numPr>
        <w:numId w:val="1"/>
      </w:numPr>
      <w:tabs>
        <w:tab w:val="num" w:pos="360"/>
      </w:tabs>
      <w:spacing w:before="120" w:after="120" w:line="240" w:lineRule="auto"/>
      <w:ind w:left="450" w:hanging="450"/>
      <w:jc w:val="center"/>
    </w:pPr>
    <w:rPr>
      <w:rFonts w:ascii="Times New Roman" w:eastAsia="Calibri" w:hAnsi="Times New Roman" w:cs="Helvetica"/>
      <w:b/>
      <w:color w:val="000000"/>
      <w:sz w:val="28"/>
    </w:rPr>
  </w:style>
  <w:style w:type="paragraph" w:customStyle="1" w:styleId="Normalapplication">
    <w:name w:val="Normal application"/>
    <w:basedOn w:val="a"/>
    <w:qFormat/>
    <w:rsid w:val="00ED6F38"/>
    <w:pPr>
      <w:widowControl w:val="0"/>
      <w:numPr>
        <w:ilvl w:val="2"/>
        <w:numId w:val="1"/>
      </w:numPr>
      <w:tabs>
        <w:tab w:val="left" w:pos="1701"/>
      </w:tabs>
      <w:spacing w:before="120" w:after="120" w:line="240" w:lineRule="auto"/>
      <w:jc w:val="both"/>
      <w:outlineLvl w:val="2"/>
    </w:pPr>
    <w:rPr>
      <w:rFonts w:ascii="Times New Roman" w:hAnsi="Times New Roman" w:cs="Helvetica"/>
      <w:sz w:val="28"/>
      <w:szCs w:val="24"/>
    </w:rPr>
  </w:style>
  <w:style w:type="numbering" w:customStyle="1" w:styleId="newnumberingapplications">
    <w:name w:val="new numbering applications"/>
    <w:rsid w:val="00ED6F38"/>
  </w:style>
  <w:style w:type="character" w:customStyle="1" w:styleId="st42">
    <w:name w:val="st42"/>
    <w:uiPriority w:val="99"/>
    <w:rsid w:val="00ED6F38"/>
    <w:rPr>
      <w:color w:val="000000"/>
    </w:rPr>
  </w:style>
  <w:style w:type="character" w:customStyle="1" w:styleId="20">
    <w:name w:val="Заголовок 2 Знак"/>
    <w:basedOn w:val="a0"/>
    <w:link w:val="2"/>
    <w:uiPriority w:val="9"/>
    <w:semiHidden/>
    <w:rsid w:val="00ED6F3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uk-UA"/>
    </w:rPr>
  </w:style>
  <w:style w:type="character" w:customStyle="1" w:styleId="10">
    <w:name w:val="Заголовок 1 Знак"/>
    <w:basedOn w:val="a0"/>
    <w:link w:val="1"/>
    <w:uiPriority w:val="9"/>
    <w:rsid w:val="00ED6F3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uk-UA"/>
    </w:rPr>
  </w:style>
  <w:style w:type="paragraph" w:customStyle="1" w:styleId="Default">
    <w:name w:val="Default"/>
    <w:rsid w:val="00FC5C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rvts0">
    <w:name w:val="rvts0"/>
    <w:basedOn w:val="a0"/>
    <w:rsid w:val="00FC5CA8"/>
  </w:style>
  <w:style w:type="paragraph" w:styleId="a7">
    <w:name w:val="List Paragraph"/>
    <w:basedOn w:val="a"/>
    <w:uiPriority w:val="34"/>
    <w:qFormat/>
    <w:rsid w:val="00B65B21"/>
    <w:pPr>
      <w:ind w:left="720"/>
      <w:contextualSpacing/>
    </w:pPr>
  </w:style>
  <w:style w:type="paragraph" w:styleId="a8">
    <w:name w:val="Body Text"/>
    <w:basedOn w:val="a"/>
    <w:link w:val="a9"/>
    <w:uiPriority w:val="99"/>
    <w:unhideWhenUsed/>
    <w:rsid w:val="008000C6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rsid w:val="008000C6"/>
    <w:rPr>
      <w:lang w:val="uk-UA"/>
    </w:rPr>
  </w:style>
  <w:style w:type="paragraph" w:styleId="aa">
    <w:name w:val="footer"/>
    <w:basedOn w:val="a"/>
    <w:link w:val="ab"/>
    <w:uiPriority w:val="99"/>
    <w:unhideWhenUsed/>
    <w:rsid w:val="008000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8000C6"/>
    <w:rPr>
      <w:lang w:val="uk-UA"/>
    </w:rPr>
  </w:style>
  <w:style w:type="paragraph" w:customStyle="1" w:styleId="Normalnumbering">
    <w:name w:val="Normal numbering"/>
    <w:basedOn w:val="a"/>
    <w:uiPriority w:val="99"/>
    <w:rsid w:val="007043B2"/>
    <w:pPr>
      <w:widowControl w:val="0"/>
      <w:tabs>
        <w:tab w:val="num" w:pos="2211"/>
      </w:tabs>
      <w:spacing w:before="120" w:after="120" w:line="240" w:lineRule="auto"/>
      <w:ind w:firstLine="851"/>
      <w:jc w:val="both"/>
      <w:outlineLvl w:val="0"/>
    </w:pPr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ac">
    <w:name w:val="Обычный буквенный список"/>
    <w:basedOn w:val="a"/>
    <w:link w:val="ad"/>
    <w:uiPriority w:val="99"/>
    <w:rsid w:val="007043B2"/>
    <w:pPr>
      <w:widowControl w:val="0"/>
      <w:tabs>
        <w:tab w:val="left" w:pos="1701"/>
      </w:tabs>
      <w:spacing w:after="0" w:line="240" w:lineRule="auto"/>
      <w:ind w:firstLine="851"/>
      <w:jc w:val="both"/>
      <w:outlineLvl w:val="2"/>
    </w:pPr>
    <w:rPr>
      <w:rFonts w:ascii="Times New Roman" w:hAnsi="Times New Roman" w:cs="Times New Roman"/>
      <w:sz w:val="28"/>
      <w:szCs w:val="28"/>
      <w:lang w:val="ru-RU" w:eastAsia="ru-RU"/>
    </w:rPr>
  </w:style>
  <w:style w:type="character" w:customStyle="1" w:styleId="ad">
    <w:name w:val="Обычный буквенный список Знак"/>
    <w:link w:val="ac"/>
    <w:uiPriority w:val="99"/>
    <w:locked/>
    <w:rsid w:val="007043B2"/>
    <w:rPr>
      <w:rFonts w:ascii="Times New Roman" w:eastAsia="Calibri" w:hAnsi="Times New Roman" w:cs="Times New Roman"/>
      <w:sz w:val="28"/>
      <w:szCs w:val="28"/>
      <w:lang w:val="ru-RU" w:eastAsia="ru-RU"/>
    </w:rPr>
  </w:style>
  <w:style w:type="numbering" w:customStyle="1" w:styleId="newnumbering">
    <w:name w:val="new numbering"/>
    <w:rsid w:val="007043B2"/>
  </w:style>
  <w:style w:type="paragraph" w:styleId="ae">
    <w:name w:val="Body Text Indent"/>
    <w:basedOn w:val="a"/>
    <w:link w:val="af"/>
    <w:uiPriority w:val="99"/>
    <w:unhideWhenUsed/>
    <w:rsid w:val="007043B2"/>
    <w:pPr>
      <w:spacing w:after="120"/>
      <w:ind w:left="283"/>
    </w:pPr>
  </w:style>
  <w:style w:type="character" w:customStyle="1" w:styleId="af">
    <w:name w:val="Основний текст з відступом Знак"/>
    <w:basedOn w:val="a0"/>
    <w:link w:val="ae"/>
    <w:uiPriority w:val="99"/>
    <w:rsid w:val="007043B2"/>
    <w:rPr>
      <w:lang w:val="uk-UA"/>
    </w:rPr>
  </w:style>
  <w:style w:type="character" w:styleId="af0">
    <w:name w:val="Hyperlink"/>
    <w:basedOn w:val="a0"/>
    <w:uiPriority w:val="99"/>
    <w:semiHidden/>
    <w:unhideWhenUsed/>
    <w:rsid w:val="005C0E37"/>
    <w:rPr>
      <w:color w:val="0000FF"/>
      <w:u w:val="single"/>
    </w:rPr>
  </w:style>
  <w:style w:type="character" w:customStyle="1" w:styleId="rvts46">
    <w:name w:val="rvts46"/>
    <w:basedOn w:val="a0"/>
    <w:rsid w:val="008E6B67"/>
  </w:style>
  <w:style w:type="paragraph" w:customStyle="1" w:styleId="rvps14">
    <w:name w:val="rvps14"/>
    <w:basedOn w:val="a"/>
    <w:rsid w:val="00EF5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7">
    <w:name w:val="rvps7"/>
    <w:basedOn w:val="a"/>
    <w:rsid w:val="00A42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rsid w:val="00A42DAC"/>
  </w:style>
  <w:style w:type="character" w:customStyle="1" w:styleId="rvts11">
    <w:name w:val="rvts11"/>
    <w:basedOn w:val="a0"/>
    <w:rsid w:val="00A42DAC"/>
  </w:style>
  <w:style w:type="character" w:customStyle="1" w:styleId="rvts9">
    <w:name w:val="rvts9"/>
    <w:basedOn w:val="a0"/>
    <w:rsid w:val="004519FE"/>
  </w:style>
  <w:style w:type="character" w:customStyle="1" w:styleId="rvts40">
    <w:name w:val="rvts40"/>
    <w:basedOn w:val="a0"/>
    <w:rsid w:val="004519FE"/>
  </w:style>
  <w:style w:type="character" w:customStyle="1" w:styleId="rvts37">
    <w:name w:val="rvts37"/>
    <w:basedOn w:val="a0"/>
    <w:rsid w:val="00445989"/>
  </w:style>
  <w:style w:type="paragraph" w:customStyle="1" w:styleId="tj">
    <w:name w:val="tj"/>
    <w:basedOn w:val="a"/>
    <w:rsid w:val="00E46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469E8"/>
  </w:style>
  <w:style w:type="character" w:customStyle="1" w:styleId="a4">
    <w:name w:val="Назва Знак"/>
    <w:basedOn w:val="a0"/>
    <w:link w:val="a3"/>
    <w:uiPriority w:val="10"/>
    <w:rsid w:val="00E53DB0"/>
    <w:rPr>
      <w:rFonts w:ascii="Calibri" w:eastAsia="Calibri" w:hAnsi="Calibri" w:cs="Calibri"/>
      <w:b/>
      <w:sz w:val="72"/>
      <w:szCs w:val="72"/>
      <w:lang w:val="uk-UA" w:eastAsia="uk-UA"/>
    </w:rPr>
  </w:style>
  <w:style w:type="paragraph" w:styleId="a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6">
    <w:basedOn w:val="TableNormal0"/>
    <w:tblPr>
      <w:tblStyleRowBandSize w:val="1"/>
      <w:tblStyleColBandSize w:val="1"/>
    </w:tblPr>
  </w:style>
  <w:style w:type="table" w:customStyle="1" w:styleId="af7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8">
    <w:basedOn w:val="TableNormal0"/>
    <w:tblPr>
      <w:tblStyleRowBandSize w:val="1"/>
      <w:tblStyleColBandSize w:val="1"/>
    </w:tblPr>
  </w:style>
  <w:style w:type="table" w:customStyle="1" w:styleId="af9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0"/>
    <w:pPr>
      <w:spacing w:after="0"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ui-provider">
    <w:name w:val="ui-provider"/>
    <w:basedOn w:val="a0"/>
    <w:rsid w:val="00F85E72"/>
  </w:style>
  <w:style w:type="character" w:customStyle="1" w:styleId="30">
    <w:name w:val="Заголовок 3 Знак"/>
    <w:basedOn w:val="a0"/>
    <w:link w:val="3"/>
    <w:uiPriority w:val="9"/>
    <w:semiHidden/>
    <w:rsid w:val="00334778"/>
    <w:rPr>
      <w:b/>
      <w:sz w:val="28"/>
      <w:szCs w:val="28"/>
    </w:rPr>
  </w:style>
  <w:style w:type="paragraph" w:styleId="afd">
    <w:name w:val="Balloon Text"/>
    <w:basedOn w:val="a"/>
    <w:link w:val="afe"/>
    <w:uiPriority w:val="99"/>
    <w:semiHidden/>
    <w:unhideWhenUsed/>
    <w:rsid w:val="00EA2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у виносці Знак"/>
    <w:basedOn w:val="a0"/>
    <w:link w:val="afd"/>
    <w:uiPriority w:val="99"/>
    <w:semiHidden/>
    <w:rsid w:val="00EA2F56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AB6AAC"/>
  </w:style>
  <w:style w:type="paragraph" w:styleId="aff">
    <w:name w:val="annotation text"/>
    <w:basedOn w:val="a"/>
    <w:link w:val="aff0"/>
    <w:uiPriority w:val="99"/>
    <w:unhideWhenUsed/>
    <w:rsid w:val="00AB6AAC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f0">
    <w:name w:val="Текст примітки Знак"/>
    <w:basedOn w:val="a0"/>
    <w:link w:val="aff"/>
    <w:uiPriority w:val="99"/>
    <w:rsid w:val="00AB6AA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aff1">
    <w:name w:val="annotation reference"/>
    <w:basedOn w:val="a0"/>
    <w:uiPriority w:val="99"/>
    <w:semiHidden/>
    <w:unhideWhenUsed/>
    <w:rsid w:val="00AB6AAC"/>
    <w:rPr>
      <w:sz w:val="16"/>
      <w:szCs w:val="16"/>
    </w:rPr>
  </w:style>
  <w:style w:type="paragraph" w:styleId="aff2">
    <w:name w:val="Revision"/>
    <w:hidden/>
    <w:uiPriority w:val="99"/>
    <w:semiHidden/>
    <w:rsid w:val="00F5537D"/>
    <w:pPr>
      <w:spacing w:after="0" w:line="240" w:lineRule="auto"/>
    </w:pPr>
  </w:style>
  <w:style w:type="paragraph" w:styleId="aff3">
    <w:name w:val="annotation subject"/>
    <w:basedOn w:val="aff"/>
    <w:next w:val="aff"/>
    <w:link w:val="aff4"/>
    <w:uiPriority w:val="99"/>
    <w:semiHidden/>
    <w:unhideWhenUsed/>
    <w:rsid w:val="00F5537D"/>
    <w:rPr>
      <w:rFonts w:ascii="Calibri" w:eastAsia="Calibri" w:hAnsi="Calibri" w:cs="Calibri"/>
      <w:b/>
      <w:bCs/>
      <w:lang w:eastAsia="uk-UA"/>
    </w:rPr>
  </w:style>
  <w:style w:type="character" w:customStyle="1" w:styleId="aff4">
    <w:name w:val="Тема примітки Знак"/>
    <w:basedOn w:val="aff0"/>
    <w:link w:val="aff3"/>
    <w:uiPriority w:val="99"/>
    <w:semiHidden/>
    <w:rsid w:val="00F5537D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styleId="aff5">
    <w:name w:val="header"/>
    <w:basedOn w:val="a"/>
    <w:link w:val="aff6"/>
    <w:uiPriority w:val="99"/>
    <w:unhideWhenUsed/>
    <w:rsid w:val="00C85F1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f6">
    <w:name w:val="Верхній колонтитул Знак"/>
    <w:basedOn w:val="a0"/>
    <w:link w:val="aff5"/>
    <w:uiPriority w:val="99"/>
    <w:rsid w:val="00C85F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eQoa38YX8yJZX23Cd7/654+9zw==">CgMxLjAyCWguMzBqMHpsbDIIaC5namRneHM4AHIhMVQ4clRILUZ6WW1lUWhrQUp0LXRxU0d0bV9wQVBXU1Aw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F9DE86E-3984-46BA-AB82-19BA3B3A3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12250</Words>
  <Characters>6984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Olexandr Gavva</dc:creator>
  <cp:lastModifiedBy>Матора Анастасія</cp:lastModifiedBy>
  <cp:revision>2</cp:revision>
  <dcterms:created xsi:type="dcterms:W3CDTF">2026-08-20T11:01:00Z</dcterms:created>
  <dcterms:modified xsi:type="dcterms:W3CDTF">2026-08-20T11:01:00Z</dcterms:modified>
</cp:coreProperties>
</file>